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AAEDA" w14:textId="77777777" w:rsidR="005A66EB" w:rsidRDefault="002D1341" w:rsidP="002D1341">
      <w:pPr>
        <w:jc w:val="center"/>
      </w:pPr>
      <w:r w:rsidRPr="002D1341">
        <w:rPr>
          <w:noProof/>
          <w:lang w:eastAsia="fr-FR"/>
        </w:rPr>
        <w:drawing>
          <wp:inline distT="0" distB="0" distL="0" distR="0" wp14:anchorId="471E4E6D" wp14:editId="70B3916C">
            <wp:extent cx="1292915" cy="1041600"/>
            <wp:effectExtent l="19050" t="0" r="2485" b="0"/>
            <wp:docPr id="4" name="Image 0" descr="logo_AUF_3mars17_DR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UF_3mars17_DRMO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073" cy="10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fr-FR"/>
        </w:rPr>
        <w:drawing>
          <wp:inline distT="0" distB="0" distL="0" distR="0" wp14:anchorId="33DED6AB" wp14:editId="06DE3079">
            <wp:extent cx="1941748" cy="784053"/>
            <wp:effectExtent l="19050" t="0" r="1352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78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</w:t>
      </w:r>
      <w:r w:rsidRPr="002D1341">
        <w:rPr>
          <w:noProof/>
          <w:lang w:eastAsia="fr-FR"/>
        </w:rPr>
        <w:drawing>
          <wp:inline distT="0" distB="0" distL="0" distR="0" wp14:anchorId="14F636F9" wp14:editId="44A7BDF5">
            <wp:extent cx="1081377" cy="1074671"/>
            <wp:effectExtent l="19050" t="0" r="4473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82" cy="107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2D423" w14:textId="77777777" w:rsidR="00FD3224" w:rsidRDefault="00FD3224" w:rsidP="005A66EB">
      <w:pPr>
        <w:ind w:left="4320" w:firstLine="720"/>
      </w:pPr>
    </w:p>
    <w:p w14:paraId="6C810EC4" w14:textId="77777777" w:rsidR="002771D0" w:rsidRPr="00A4020E" w:rsidRDefault="00187F9F" w:rsidP="00A4020E">
      <w:pPr>
        <w:jc w:val="center"/>
        <w:rPr>
          <w:sz w:val="24"/>
          <w:szCs w:val="24"/>
        </w:rPr>
      </w:pPr>
      <w:r w:rsidRPr="00A4020E">
        <w:rPr>
          <w:sz w:val="24"/>
          <w:szCs w:val="24"/>
        </w:rPr>
        <w:t>Programmes Doctoraux Thématiques</w:t>
      </w:r>
    </w:p>
    <w:p w14:paraId="2E205D0E" w14:textId="77777777" w:rsidR="00187F9F" w:rsidRPr="00A4020E" w:rsidRDefault="00187F9F" w:rsidP="00A4020E">
      <w:pPr>
        <w:jc w:val="center"/>
        <w:rPr>
          <w:sz w:val="24"/>
          <w:szCs w:val="24"/>
        </w:rPr>
      </w:pPr>
      <w:r w:rsidRPr="00A4020E">
        <w:rPr>
          <w:sz w:val="24"/>
          <w:szCs w:val="24"/>
        </w:rPr>
        <w:t>AGENCE UNIVERSITAIRE DE LA FRANCOPHONIE</w:t>
      </w:r>
    </w:p>
    <w:p w14:paraId="2A9EB2A3" w14:textId="77777777" w:rsidR="00187F9F" w:rsidRPr="00A4020E" w:rsidRDefault="00187F9F" w:rsidP="00A4020E">
      <w:pPr>
        <w:jc w:val="center"/>
        <w:rPr>
          <w:sz w:val="24"/>
          <w:szCs w:val="24"/>
        </w:rPr>
      </w:pPr>
      <w:r w:rsidRPr="00A4020E">
        <w:rPr>
          <w:sz w:val="24"/>
          <w:szCs w:val="24"/>
        </w:rPr>
        <w:t>DIRECTION REGIONALE MOYEN-ORIENT</w:t>
      </w:r>
    </w:p>
    <w:p w14:paraId="2537D4CF" w14:textId="77777777" w:rsidR="00187F9F" w:rsidRDefault="00187F9F"/>
    <w:p w14:paraId="69EBC883" w14:textId="230CB13D" w:rsidR="00187F9F" w:rsidRPr="00A4020E" w:rsidRDefault="00187F9F" w:rsidP="00EE7B0B">
      <w:pPr>
        <w:jc w:val="center"/>
        <w:rPr>
          <w:b/>
          <w:bCs/>
        </w:rPr>
      </w:pPr>
      <w:r w:rsidRPr="00A4020E">
        <w:rPr>
          <w:b/>
          <w:bCs/>
        </w:rPr>
        <w:t xml:space="preserve">REGLEMENT </w:t>
      </w:r>
      <w:r w:rsidR="00680B81">
        <w:rPr>
          <w:b/>
          <w:bCs/>
        </w:rPr>
        <w:t>2020-2021</w:t>
      </w:r>
    </w:p>
    <w:p w14:paraId="15783617" w14:textId="62B66D85" w:rsidR="00187F9F" w:rsidRPr="00A4020E" w:rsidRDefault="00187F9F" w:rsidP="00DE41F1">
      <w:pPr>
        <w:jc w:val="center"/>
      </w:pPr>
      <w:r>
        <w:t xml:space="preserve">Appel régional </w:t>
      </w:r>
      <w:r w:rsidR="002D1341">
        <w:t>à</w:t>
      </w:r>
      <w:r>
        <w:t xml:space="preserve"> candidature ouvert du</w:t>
      </w:r>
      <w:r w:rsidR="00680B81">
        <w:t xml:space="preserve"> </w:t>
      </w:r>
      <w:r w:rsidR="52AF6C11">
        <w:t>28 avril</w:t>
      </w:r>
      <w:r w:rsidR="00A9311E">
        <w:t xml:space="preserve"> au </w:t>
      </w:r>
      <w:r w:rsidR="764F3F47">
        <w:t>25 juin</w:t>
      </w:r>
      <w:r w:rsidR="00680B81">
        <w:t xml:space="preserve"> 2020</w:t>
      </w:r>
      <w:r>
        <w:t xml:space="preserve"> (12h midi, heure de Beyrouth)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87F9F" w:rsidRPr="00680B81" w14:paraId="3ADF9304" w14:textId="77777777" w:rsidTr="00187F9F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3FBFC46E" w14:textId="77777777" w:rsidR="00187F9F" w:rsidRPr="00680B81" w:rsidRDefault="00187F9F" w:rsidP="00287B44">
            <w:pPr>
              <w:jc w:val="center"/>
            </w:pPr>
            <w:r w:rsidRPr="00680B81">
              <w:t>OBJECTIFS</w:t>
            </w:r>
          </w:p>
        </w:tc>
      </w:tr>
    </w:tbl>
    <w:p w14:paraId="2E17DF3D" w14:textId="77777777" w:rsidR="000E69CA" w:rsidRPr="00680B81" w:rsidRDefault="000E69CA" w:rsidP="000E69CA">
      <w:pPr>
        <w:spacing w:after="0" w:line="240" w:lineRule="auto"/>
        <w:jc w:val="both"/>
      </w:pPr>
    </w:p>
    <w:p w14:paraId="64DBF861" w14:textId="14456CB3" w:rsidR="00187F9F" w:rsidRPr="00680B81" w:rsidRDefault="00187F9F" w:rsidP="00287B44">
      <w:pPr>
        <w:jc w:val="both"/>
      </w:pPr>
      <w:r w:rsidRPr="00680B81">
        <w:t xml:space="preserve">Dans le cadre de l’accord entre l’Agence universitaire de la Francophonie (AUF), le Conseil National de la Recherche Scientifique de la </w:t>
      </w:r>
      <w:r w:rsidR="00E046A1" w:rsidRPr="00680B81">
        <w:t>République</w:t>
      </w:r>
      <w:r w:rsidRPr="00680B81">
        <w:t xml:space="preserve"> Libanaise (CNRS-L) et l’</w:t>
      </w:r>
      <w:r w:rsidR="00CF0589" w:rsidRPr="00680B81">
        <w:t xml:space="preserve">Université </w:t>
      </w:r>
      <w:r w:rsidR="00287B44" w:rsidRPr="00680B81">
        <w:t>Saint-Esprit de Kaslik (USEK)</w:t>
      </w:r>
      <w:r w:rsidR="00CF0589" w:rsidRPr="00680B81">
        <w:t xml:space="preserve"> </w:t>
      </w:r>
      <w:r w:rsidRPr="00680B81">
        <w:t xml:space="preserve">pour le co-financement des </w:t>
      </w:r>
      <w:r w:rsidR="00E046A1" w:rsidRPr="00680B81">
        <w:t>mobilités</w:t>
      </w:r>
      <w:r w:rsidRPr="00680B81">
        <w:t xml:space="preserve"> de </w:t>
      </w:r>
      <w:r w:rsidR="00E046A1" w:rsidRPr="00680B81">
        <w:t>thèses</w:t>
      </w:r>
      <w:r w:rsidRPr="00680B81">
        <w:t xml:space="preserve"> de doctorat dans des </w:t>
      </w:r>
      <w:r w:rsidR="00E046A1" w:rsidRPr="00680B81">
        <w:t>thématiques</w:t>
      </w:r>
      <w:r w:rsidRPr="00680B81">
        <w:t xml:space="preserve"> d’</w:t>
      </w:r>
      <w:r w:rsidR="00E046A1" w:rsidRPr="00680B81">
        <w:t>intérêt</w:t>
      </w:r>
      <w:r w:rsidRPr="00680B81">
        <w:t xml:space="preserve"> commun, des aides </w:t>
      </w:r>
      <w:r w:rsidR="00E046A1" w:rsidRPr="00680B81">
        <w:t>financières</w:t>
      </w:r>
      <w:r w:rsidR="00A85AF0" w:rsidRPr="00680B81">
        <w:t xml:space="preserve"> </w:t>
      </w:r>
      <w:r w:rsidR="00114438" w:rsidRPr="00680B81">
        <w:t>à</w:t>
      </w:r>
      <w:r w:rsidRPr="00680B81">
        <w:t xml:space="preserve"> la </w:t>
      </w:r>
      <w:r w:rsidR="00E046A1" w:rsidRPr="00680B81">
        <w:t>mobilité</w:t>
      </w:r>
      <w:r w:rsidRPr="00680B81">
        <w:t xml:space="preserve"> doctorale pour l’</w:t>
      </w:r>
      <w:r w:rsidR="00E046A1" w:rsidRPr="00680B81">
        <w:t>année</w:t>
      </w:r>
      <w:r w:rsidRPr="00680B81">
        <w:t xml:space="preserve"> </w:t>
      </w:r>
      <w:r w:rsidR="00680B81" w:rsidRPr="00680B81">
        <w:t>2020-2021</w:t>
      </w:r>
      <w:r w:rsidRPr="00680B81">
        <w:t xml:space="preserve"> sont mises en place. </w:t>
      </w:r>
      <w:r w:rsidR="005A66EB" w:rsidRPr="00680B81">
        <w:t>Les conditions d’</w:t>
      </w:r>
      <w:r w:rsidR="00040791" w:rsidRPr="00680B81">
        <w:t>éligibilité</w:t>
      </w:r>
      <w:r w:rsidR="005A66EB" w:rsidRPr="00680B81">
        <w:t xml:space="preserve">, les </w:t>
      </w:r>
      <w:r w:rsidR="00040791" w:rsidRPr="00680B81">
        <w:t>critères</w:t>
      </w:r>
      <w:r w:rsidR="005A66EB" w:rsidRPr="00680B81">
        <w:t xml:space="preserve"> de </w:t>
      </w:r>
      <w:r w:rsidR="00040791" w:rsidRPr="00680B81">
        <w:t>sélection</w:t>
      </w:r>
      <w:r w:rsidR="005A66EB" w:rsidRPr="00680B81">
        <w:t xml:space="preserve">, les </w:t>
      </w:r>
      <w:r w:rsidR="00040791" w:rsidRPr="00680B81">
        <w:t>thématiques</w:t>
      </w:r>
      <w:r w:rsidR="005A66EB" w:rsidRPr="00680B81">
        <w:t xml:space="preserve"> prioritaires, ainsi que les </w:t>
      </w:r>
      <w:r w:rsidR="00040791" w:rsidRPr="00680B81">
        <w:t>pièces</w:t>
      </w:r>
      <w:r w:rsidR="005A66EB" w:rsidRPr="00680B81">
        <w:t xml:space="preserve"> constitutives du dossier de candidature sont </w:t>
      </w:r>
      <w:r w:rsidR="00040791" w:rsidRPr="00680B81">
        <w:t>détaill</w:t>
      </w:r>
      <w:r w:rsidR="00CC14E0" w:rsidRPr="00680B81">
        <w:t>é</w:t>
      </w:r>
      <w:r w:rsidR="00040791" w:rsidRPr="00680B81">
        <w:t>s</w:t>
      </w:r>
      <w:r w:rsidR="005A66EB" w:rsidRPr="00680B81">
        <w:t xml:space="preserve"> dans ce document.</w:t>
      </w:r>
    </w:p>
    <w:p w14:paraId="65D49D8B" w14:textId="1B30F099" w:rsidR="005A66EB" w:rsidRPr="00680B81" w:rsidRDefault="005A66EB" w:rsidP="00DE41F1">
      <w:pPr>
        <w:jc w:val="both"/>
      </w:pPr>
      <w:r>
        <w:t xml:space="preserve">Les dossiers seront </w:t>
      </w:r>
      <w:r w:rsidR="00EE7B0B">
        <w:t>déposé</w:t>
      </w:r>
      <w:r w:rsidR="00040791">
        <w:t>s</w:t>
      </w:r>
      <w:r>
        <w:t xml:space="preserve">, jusqu’au </w:t>
      </w:r>
      <w:r w:rsidR="033913BA">
        <w:t>25 juin</w:t>
      </w:r>
      <w:r w:rsidR="00680B81">
        <w:t xml:space="preserve"> 2020</w:t>
      </w:r>
      <w:r>
        <w:t xml:space="preserve">, </w:t>
      </w:r>
      <w:r w:rsidR="00040791">
        <w:t>auprès</w:t>
      </w:r>
      <w:r>
        <w:t xml:space="preserve"> </w:t>
      </w:r>
      <w:r w:rsidR="00EA6191">
        <w:t>d</w:t>
      </w:r>
      <w:r w:rsidR="0097518D">
        <w:t xml:space="preserve">e l’administration du Collège doctoral de </w:t>
      </w:r>
      <w:r w:rsidR="00287B44">
        <w:t>l’USEK</w:t>
      </w:r>
      <w:r w:rsidR="00EA6191">
        <w:t xml:space="preserve">. Le </w:t>
      </w:r>
      <w:r w:rsidR="0097518D">
        <w:t xml:space="preserve">Collège doctoral </w:t>
      </w:r>
      <w:r>
        <w:t xml:space="preserve">les transmettra </w:t>
      </w:r>
      <w:r w:rsidR="00EA6191">
        <w:t>à l’AUF</w:t>
      </w:r>
      <w:r w:rsidR="00287B44">
        <w:t xml:space="preserve"> et au CNRS-L</w:t>
      </w:r>
      <w:r w:rsidR="00EA6191">
        <w:t xml:space="preserve"> </w:t>
      </w:r>
      <w:r>
        <w:t>pour l’</w:t>
      </w:r>
      <w:r w:rsidR="00040791">
        <w:t>évaluation</w:t>
      </w:r>
      <w:r>
        <w:t xml:space="preserve"> des candidatures. La </w:t>
      </w:r>
      <w:r w:rsidR="00040791">
        <w:t>sélection</w:t>
      </w:r>
      <w:r>
        <w:t xml:space="preserve"> finale des </w:t>
      </w:r>
      <w:r w:rsidR="00040791">
        <w:t>lauréats</w:t>
      </w:r>
      <w:r>
        <w:t xml:space="preserve"> sera faite par un </w:t>
      </w:r>
      <w:r w:rsidR="00040791">
        <w:t>comité</w:t>
      </w:r>
      <w:r>
        <w:t xml:space="preserve"> mixte des trois institutions</w:t>
      </w:r>
      <w:r w:rsidR="00A9311E">
        <w:t xml:space="preserve"> et les</w:t>
      </w:r>
      <w:r>
        <w:t xml:space="preserve"> </w:t>
      </w:r>
      <w:r w:rsidR="00040791">
        <w:t>résultats</w:t>
      </w:r>
      <w:r>
        <w:t xml:space="preserve"> de l’appel seront affich</w:t>
      </w:r>
      <w:r w:rsidR="00114438">
        <w:t>é</w:t>
      </w:r>
      <w:r>
        <w:t xml:space="preserve">s sur les sites des trois </w:t>
      </w:r>
      <w:r w:rsidR="00A9311E">
        <w:t>partenaires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5D78" w:rsidRPr="00680B81" w14:paraId="06F93949" w14:textId="77777777" w:rsidTr="008E5D78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8ACC473" w14:textId="77777777" w:rsidR="008E5D78" w:rsidRPr="00680B81" w:rsidRDefault="008E5D78" w:rsidP="0034483D">
            <w:pPr>
              <w:jc w:val="center"/>
            </w:pPr>
            <w:r w:rsidRPr="00680B81">
              <w:t>CONDITIONS DE CANDIDATURE</w:t>
            </w:r>
          </w:p>
        </w:tc>
      </w:tr>
    </w:tbl>
    <w:p w14:paraId="22176044" w14:textId="77777777" w:rsidR="006D483D" w:rsidRPr="00680B81" w:rsidRDefault="006D483D" w:rsidP="006D483D">
      <w:pPr>
        <w:pStyle w:val="ListParagraph"/>
        <w:jc w:val="both"/>
      </w:pPr>
    </w:p>
    <w:p w14:paraId="75D4D3C3" w14:textId="77777777" w:rsidR="006E28CC" w:rsidRPr="00680B81" w:rsidRDefault="006E28CC" w:rsidP="000E69CA">
      <w:pPr>
        <w:pStyle w:val="ListParagraph"/>
        <w:numPr>
          <w:ilvl w:val="0"/>
          <w:numId w:val="4"/>
        </w:numPr>
        <w:ind w:left="426"/>
        <w:jc w:val="both"/>
      </w:pPr>
      <w:r w:rsidRPr="00680B81">
        <w:t xml:space="preserve">Ces aides </w:t>
      </w:r>
      <w:r w:rsidR="00560BDD" w:rsidRPr="00680B81">
        <w:t>financières</w:t>
      </w:r>
      <w:r w:rsidRPr="00680B81">
        <w:t xml:space="preserve"> sont exclusivement </w:t>
      </w:r>
      <w:r w:rsidR="00560BDD" w:rsidRPr="00680B81">
        <w:t>destinées</w:t>
      </w:r>
      <w:r w:rsidR="00946FBF" w:rsidRPr="00680B81">
        <w:t xml:space="preserve"> </w:t>
      </w:r>
      <w:r w:rsidR="00EE7B0B" w:rsidRPr="00680B81">
        <w:t>à</w:t>
      </w:r>
      <w:r w:rsidRPr="00680B81">
        <w:t xml:space="preserve"> des </w:t>
      </w:r>
      <w:r w:rsidR="00560BDD" w:rsidRPr="00680B81">
        <w:t>étudiant</w:t>
      </w:r>
      <w:r w:rsidR="00EE7B0B" w:rsidRPr="00680B81">
        <w:t>(e)</w:t>
      </w:r>
      <w:r w:rsidR="00560BDD" w:rsidRPr="00680B81">
        <w:t>s</w:t>
      </w:r>
      <w:r w:rsidRPr="00680B81">
        <w:t xml:space="preserve"> libanai</w:t>
      </w:r>
      <w:r w:rsidR="00EE7B0B" w:rsidRPr="00680B81">
        <w:t>s(e)</w:t>
      </w:r>
      <w:r w:rsidRPr="00680B81">
        <w:t xml:space="preserve">s titulaires d’un diplôme de Master (ou </w:t>
      </w:r>
      <w:r w:rsidR="00560BDD" w:rsidRPr="00680B81">
        <w:t>équivalent</w:t>
      </w:r>
      <w:r w:rsidRPr="00680B81">
        <w:t>) reconnu comme tel par les trois</w:t>
      </w:r>
      <w:r w:rsidR="00CF0589" w:rsidRPr="00680B81">
        <w:t xml:space="preserve"> institutions (AUF, CNRS-L et U</w:t>
      </w:r>
      <w:r w:rsidR="00287B44" w:rsidRPr="00680B81">
        <w:t>SEK</w:t>
      </w:r>
      <w:r w:rsidRPr="00680B81">
        <w:t xml:space="preserve">). Selon les </w:t>
      </w:r>
      <w:r w:rsidR="00560BDD" w:rsidRPr="00680B81">
        <w:t>règlements</w:t>
      </w:r>
      <w:r w:rsidRPr="00680B81">
        <w:t xml:space="preserve"> en vigueur dans les </w:t>
      </w:r>
      <w:r w:rsidR="00560BDD" w:rsidRPr="00680B81">
        <w:t>différents</w:t>
      </w:r>
      <w:r w:rsidR="00946FBF" w:rsidRPr="00680B81">
        <w:t xml:space="preserve"> </w:t>
      </w:r>
      <w:r w:rsidR="00560BDD" w:rsidRPr="00680B81">
        <w:t>établissements</w:t>
      </w:r>
      <w:r w:rsidR="00946FBF" w:rsidRPr="00680B81">
        <w:t xml:space="preserve"> </w:t>
      </w:r>
      <w:r w:rsidR="00560BDD" w:rsidRPr="00680B81">
        <w:t>partenaires</w:t>
      </w:r>
      <w:r w:rsidR="00EE7B0B" w:rsidRPr="00680B81">
        <w:t>,</w:t>
      </w:r>
      <w:r w:rsidRPr="00680B81">
        <w:t xml:space="preserve"> est </w:t>
      </w:r>
      <w:r w:rsidR="00560BDD" w:rsidRPr="00680B81">
        <w:t>considéré</w:t>
      </w:r>
      <w:r w:rsidR="00EE7B0B" w:rsidRPr="00680B81">
        <w:t>(e)</w:t>
      </w:r>
      <w:r w:rsidR="00946FBF" w:rsidRPr="00680B81">
        <w:t xml:space="preserve"> </w:t>
      </w:r>
      <w:r w:rsidR="00560BDD" w:rsidRPr="00680B81">
        <w:t>éligible</w:t>
      </w:r>
      <w:r w:rsidRPr="00680B81">
        <w:t xml:space="preserve"> tout</w:t>
      </w:r>
      <w:r w:rsidR="00EE7B0B" w:rsidRPr="00680B81">
        <w:t>(e)</w:t>
      </w:r>
      <w:r w:rsidRPr="00680B81">
        <w:t xml:space="preserve"> candidat</w:t>
      </w:r>
      <w:r w:rsidR="00EE7B0B" w:rsidRPr="00680B81">
        <w:t xml:space="preserve">(e) </w:t>
      </w:r>
      <w:r w:rsidRPr="00680B81">
        <w:t>:</w:t>
      </w:r>
    </w:p>
    <w:p w14:paraId="00CCCF7D" w14:textId="77777777" w:rsidR="006E28CC" w:rsidRPr="00680B81" w:rsidRDefault="000E69CA" w:rsidP="0028077A">
      <w:pPr>
        <w:pStyle w:val="ListParagraph"/>
        <w:numPr>
          <w:ilvl w:val="0"/>
          <w:numId w:val="3"/>
        </w:numPr>
        <w:jc w:val="both"/>
      </w:pPr>
      <w:r w:rsidRPr="00680B81">
        <w:t>A</w:t>
      </w:r>
      <w:r w:rsidR="006E28CC" w:rsidRPr="00680B81">
        <w:t>gé</w:t>
      </w:r>
      <w:r w:rsidRPr="00680B81">
        <w:t>(e)</w:t>
      </w:r>
      <w:r w:rsidR="006E28CC" w:rsidRPr="00680B81">
        <w:t xml:space="preserve"> de moins de 35 ans à sa première année de thèse;</w:t>
      </w:r>
    </w:p>
    <w:p w14:paraId="4C409466" w14:textId="77777777" w:rsidR="006E28CC" w:rsidRPr="00680B81" w:rsidRDefault="006E28CC" w:rsidP="00640D31">
      <w:pPr>
        <w:pStyle w:val="ListParagraph"/>
        <w:numPr>
          <w:ilvl w:val="0"/>
          <w:numId w:val="3"/>
        </w:numPr>
        <w:jc w:val="both"/>
      </w:pPr>
      <w:r w:rsidRPr="00680B81">
        <w:t xml:space="preserve">ayant une moyenne </w:t>
      </w:r>
      <w:r w:rsidR="00560BDD" w:rsidRPr="00680B81">
        <w:t>générale</w:t>
      </w:r>
      <w:r w:rsidRPr="00680B81">
        <w:t xml:space="preserve"> d’au moins 1</w:t>
      </w:r>
      <w:r w:rsidR="00640D31" w:rsidRPr="00680B81">
        <w:t>5</w:t>
      </w:r>
      <w:r w:rsidRPr="00680B81">
        <w:t xml:space="preserve">/20 (système </w:t>
      </w:r>
      <w:r w:rsidR="00560BDD" w:rsidRPr="00680B81">
        <w:t>français</w:t>
      </w:r>
      <w:r w:rsidRPr="00680B81">
        <w:t xml:space="preserve">) ou 85/100 (système anglo-saxon) en </w:t>
      </w:r>
      <w:r w:rsidR="00560BDD" w:rsidRPr="00680B81">
        <w:t>deuxième</w:t>
      </w:r>
      <w:r w:rsidRPr="00680B81">
        <w:t xml:space="preserve"> cycle universitaire (M1+M2 ou </w:t>
      </w:r>
      <w:r w:rsidR="00560BDD" w:rsidRPr="00680B81">
        <w:t>équivalent</w:t>
      </w:r>
      <w:r w:rsidRPr="00680B81">
        <w:t>);</w:t>
      </w:r>
    </w:p>
    <w:p w14:paraId="6489EA6A" w14:textId="77777777" w:rsidR="006E28CC" w:rsidRPr="00680B81" w:rsidRDefault="006E28CC" w:rsidP="00287B44">
      <w:pPr>
        <w:pStyle w:val="ListParagraph"/>
        <w:numPr>
          <w:ilvl w:val="0"/>
          <w:numId w:val="3"/>
        </w:numPr>
        <w:jc w:val="both"/>
      </w:pPr>
      <w:r w:rsidRPr="00680B81">
        <w:t xml:space="preserve">justifiant l’alternance entre </w:t>
      </w:r>
      <w:r w:rsidR="00287B44" w:rsidRPr="00680B81">
        <w:t>l’USEK</w:t>
      </w:r>
      <w:r w:rsidR="00CF0589" w:rsidRPr="00680B81">
        <w:t xml:space="preserve"> </w:t>
      </w:r>
      <w:r w:rsidRPr="00680B81">
        <w:t xml:space="preserve">et son </w:t>
      </w:r>
      <w:r w:rsidR="00560BDD" w:rsidRPr="00680B81">
        <w:t>université</w:t>
      </w:r>
      <w:r w:rsidRPr="00680B81">
        <w:t xml:space="preserve"> d’accueil </w:t>
      </w:r>
      <w:r w:rsidR="00114438" w:rsidRPr="00680B81">
        <w:t>à</w:t>
      </w:r>
      <w:r w:rsidRPr="00680B81">
        <w:t xml:space="preserve"> l’</w:t>
      </w:r>
      <w:r w:rsidR="00560BDD" w:rsidRPr="00680B81">
        <w:t>étranger</w:t>
      </w:r>
      <w:r w:rsidRPr="00680B81">
        <w:t xml:space="preserve"> (</w:t>
      </w:r>
      <w:r w:rsidR="00560BDD" w:rsidRPr="00680B81">
        <w:t>présence</w:t>
      </w:r>
      <w:r w:rsidRPr="00680B81">
        <w:t xml:space="preserve"> minimale d’un trimestre par </w:t>
      </w:r>
      <w:r w:rsidR="00560BDD" w:rsidRPr="00680B81">
        <w:t>année</w:t>
      </w:r>
      <w:r w:rsidRPr="00680B81">
        <w:t xml:space="preserve"> au sein de chacun des deux </w:t>
      </w:r>
      <w:r w:rsidR="00560BDD" w:rsidRPr="00680B81">
        <w:t>établissements</w:t>
      </w:r>
      <w:r w:rsidRPr="00680B81">
        <w:t>, d’accueil et d’origine);</w:t>
      </w:r>
    </w:p>
    <w:p w14:paraId="19F2D640" w14:textId="77777777" w:rsidR="00946FBF" w:rsidRPr="00680B81" w:rsidRDefault="006E28CC" w:rsidP="0028077A">
      <w:pPr>
        <w:pStyle w:val="ListParagraph"/>
        <w:numPr>
          <w:ilvl w:val="0"/>
          <w:numId w:val="3"/>
        </w:numPr>
        <w:jc w:val="both"/>
      </w:pPr>
      <w:r w:rsidRPr="00680B81">
        <w:t>inscrit</w:t>
      </w:r>
      <w:r w:rsidR="0034483D" w:rsidRPr="00680B81">
        <w:t>(e)</w:t>
      </w:r>
      <w:r w:rsidRPr="00680B81">
        <w:t xml:space="preserve"> en </w:t>
      </w:r>
      <w:r w:rsidR="00560BDD" w:rsidRPr="00680B81">
        <w:t>première</w:t>
      </w:r>
      <w:r w:rsidRPr="00680B81">
        <w:t xml:space="preserve"> ou </w:t>
      </w:r>
      <w:r w:rsidR="00560BDD" w:rsidRPr="00680B81">
        <w:t>deuxième</w:t>
      </w:r>
      <w:r w:rsidR="00946FBF" w:rsidRPr="00680B81">
        <w:t xml:space="preserve"> </w:t>
      </w:r>
      <w:r w:rsidR="00560BDD" w:rsidRPr="00680B81">
        <w:t>année</w:t>
      </w:r>
      <w:r w:rsidRPr="00680B81">
        <w:t xml:space="preserve"> de doctorat</w:t>
      </w:r>
      <w:r w:rsidR="00946FBF" w:rsidRPr="00680B81">
        <w:t>, dans l’un des domaines définis par les établissements partenaires :</w:t>
      </w:r>
    </w:p>
    <w:p w14:paraId="141224C0" w14:textId="77777777" w:rsidR="000E69CA" w:rsidRPr="00680B81" w:rsidRDefault="00946FBF" w:rsidP="000E69CA">
      <w:pPr>
        <w:pStyle w:val="ListParagraph"/>
        <w:numPr>
          <w:ilvl w:val="1"/>
          <w:numId w:val="3"/>
        </w:numPr>
        <w:jc w:val="both"/>
      </w:pPr>
      <w:r w:rsidRPr="00680B81">
        <w:t xml:space="preserve">Sciences pour l’ingénieur </w:t>
      </w:r>
      <w:r w:rsidR="006E28CC" w:rsidRPr="00680B81">
        <w:t>;</w:t>
      </w:r>
    </w:p>
    <w:p w14:paraId="1718A8E1" w14:textId="77777777" w:rsidR="000E69CA" w:rsidRPr="00680B81" w:rsidRDefault="00946FBF" w:rsidP="000E69CA">
      <w:pPr>
        <w:pStyle w:val="ListParagraph"/>
        <w:numPr>
          <w:ilvl w:val="1"/>
          <w:numId w:val="3"/>
        </w:numPr>
        <w:jc w:val="both"/>
      </w:pPr>
      <w:r w:rsidRPr="00680B81">
        <w:t>Santé et Environnement ;</w:t>
      </w:r>
    </w:p>
    <w:p w14:paraId="28136C06" w14:textId="77777777" w:rsidR="000E69CA" w:rsidRPr="00680B81" w:rsidRDefault="00946FBF" w:rsidP="000E69CA">
      <w:pPr>
        <w:pStyle w:val="ListParagraph"/>
        <w:numPr>
          <w:ilvl w:val="1"/>
          <w:numId w:val="3"/>
        </w:numPr>
        <w:jc w:val="both"/>
      </w:pPr>
      <w:r w:rsidRPr="00680B81">
        <w:t>Sciences Humaines et Sociales ;</w:t>
      </w:r>
    </w:p>
    <w:p w14:paraId="57CAE88D" w14:textId="77D45EE5" w:rsidR="00102F47" w:rsidRDefault="000E69CA" w:rsidP="00680B81">
      <w:pPr>
        <w:pStyle w:val="ListParagraph"/>
        <w:numPr>
          <w:ilvl w:val="0"/>
          <w:numId w:val="3"/>
        </w:numPr>
        <w:jc w:val="both"/>
      </w:pPr>
      <w:r w:rsidRPr="00680B81">
        <w:lastRenderedPageBreak/>
        <w:t>C</w:t>
      </w:r>
      <w:r w:rsidR="00946FBF" w:rsidRPr="00680B81">
        <w:t>onsacré</w:t>
      </w:r>
      <w:r w:rsidRPr="00680B81">
        <w:t>(e)</w:t>
      </w:r>
      <w:r w:rsidR="006E28CC" w:rsidRPr="00680B81">
        <w:t xml:space="preserve"> </w:t>
      </w:r>
      <w:r w:rsidR="00560BDD" w:rsidRPr="00680B81">
        <w:t>entièrement</w:t>
      </w:r>
      <w:r w:rsidR="00946FBF" w:rsidRPr="00680B81">
        <w:t xml:space="preserve"> </w:t>
      </w:r>
      <w:r w:rsidR="00114438" w:rsidRPr="00680B81">
        <w:t>à</w:t>
      </w:r>
      <w:r w:rsidR="006E28CC" w:rsidRPr="00680B81">
        <w:t xml:space="preserve"> sa </w:t>
      </w:r>
      <w:r w:rsidR="00560BDD" w:rsidRPr="00680B81">
        <w:t>thèse</w:t>
      </w:r>
      <w:r w:rsidR="006E28CC" w:rsidRPr="00680B81">
        <w:t xml:space="preserve">, n’ayant pas de travail </w:t>
      </w:r>
      <w:r w:rsidR="00946FBF" w:rsidRPr="00680B81">
        <w:t>rémunéré</w:t>
      </w:r>
      <w:r w:rsidR="006E28CC" w:rsidRPr="00680B81">
        <w:t xml:space="preserve">, et ne </w:t>
      </w:r>
      <w:r w:rsidR="00560BDD" w:rsidRPr="00680B81">
        <w:t>bénéficiant</w:t>
      </w:r>
      <w:r w:rsidR="006E28CC" w:rsidRPr="00680B81">
        <w:t xml:space="preserve"> d’aucune subvention </w:t>
      </w:r>
      <w:r w:rsidR="00560BDD" w:rsidRPr="00680B81">
        <w:t>supplémentaire</w:t>
      </w:r>
      <w:r w:rsidR="006E28CC" w:rsidRPr="00680B81">
        <w:t xml:space="preserve"> de toute autre source en dehors de l’</w:t>
      </w:r>
      <w:r w:rsidR="00287B44" w:rsidRPr="00680B81">
        <w:t>accord-cadre AUF/CNRS-L/</w:t>
      </w:r>
      <w:r w:rsidR="00CF0589" w:rsidRPr="00680B81">
        <w:t>U</w:t>
      </w:r>
      <w:r w:rsidR="00287B44" w:rsidRPr="00680B81">
        <w:t>SEK</w:t>
      </w:r>
      <w:r w:rsidR="006E28CC" w:rsidRPr="00680B81">
        <w:t xml:space="preserve">. </w:t>
      </w:r>
    </w:p>
    <w:p w14:paraId="29496590" w14:textId="77777777" w:rsidR="00680B81" w:rsidRPr="00680B81" w:rsidRDefault="00680B81" w:rsidP="00680B81">
      <w:pPr>
        <w:pStyle w:val="ListParagraph"/>
        <w:jc w:val="both"/>
      </w:pPr>
    </w:p>
    <w:p w14:paraId="1E486036" w14:textId="5169C3B7" w:rsidR="00560BDD" w:rsidRPr="00680B81" w:rsidRDefault="00560BDD" w:rsidP="000E69CA">
      <w:pPr>
        <w:pStyle w:val="ListParagraph"/>
        <w:numPr>
          <w:ilvl w:val="0"/>
          <w:numId w:val="4"/>
        </w:numPr>
        <w:ind w:left="426"/>
        <w:jc w:val="both"/>
      </w:pPr>
      <w:r w:rsidRPr="00680B81">
        <w:t>Outre les conditions d’</w:t>
      </w:r>
      <w:r w:rsidR="007E70D7" w:rsidRPr="00680B81">
        <w:t>éligibilité</w:t>
      </w:r>
      <w:r w:rsidR="00946FBF" w:rsidRPr="00680B81">
        <w:t xml:space="preserve"> </w:t>
      </w:r>
      <w:r w:rsidR="007E70D7" w:rsidRPr="00680B81">
        <w:t>mentionnées</w:t>
      </w:r>
      <w:r w:rsidRPr="00680B81">
        <w:t xml:space="preserve"> ci-dessus, ces aides sont soumises aux restrictions suivantes :</w:t>
      </w:r>
    </w:p>
    <w:p w14:paraId="599FBC2D" w14:textId="77777777" w:rsidR="00560BDD" w:rsidRPr="00680B81" w:rsidRDefault="00560BDD" w:rsidP="0028077A">
      <w:pPr>
        <w:pStyle w:val="ListParagraph"/>
        <w:numPr>
          <w:ilvl w:val="0"/>
          <w:numId w:val="3"/>
        </w:numPr>
        <w:jc w:val="both"/>
      </w:pPr>
      <w:r w:rsidRPr="00680B81">
        <w:t>le</w:t>
      </w:r>
      <w:r w:rsidR="0034483D" w:rsidRPr="00680B81">
        <w:t xml:space="preserve"> (la)</w:t>
      </w:r>
      <w:r w:rsidR="000E69CA" w:rsidRPr="00680B81">
        <w:t xml:space="preserve"> </w:t>
      </w:r>
      <w:r w:rsidR="007E70D7" w:rsidRPr="00680B81">
        <w:t>bénéficiaire</w:t>
      </w:r>
      <w:r w:rsidRPr="00680B81">
        <w:t xml:space="preserve"> et son directeur de </w:t>
      </w:r>
      <w:r w:rsidR="007E70D7" w:rsidRPr="00680B81">
        <w:t>thèse</w:t>
      </w:r>
      <w:r w:rsidRPr="00680B81">
        <w:t xml:space="preserve"> au Liban doivent signer et s’engager </w:t>
      </w:r>
      <w:r w:rsidR="007E70D7" w:rsidRPr="00680B81">
        <w:t>à</w:t>
      </w:r>
      <w:r w:rsidRPr="00680B81">
        <w:t xml:space="preserve"> respecter la charte d’</w:t>
      </w:r>
      <w:r w:rsidR="007E70D7" w:rsidRPr="00680B81">
        <w:t>éthique</w:t>
      </w:r>
      <w:r w:rsidRPr="00680B81">
        <w:t xml:space="preserve"> et de </w:t>
      </w:r>
      <w:r w:rsidR="007E70D7" w:rsidRPr="00680B81">
        <w:t>déontologie</w:t>
      </w:r>
      <w:r w:rsidRPr="00680B81">
        <w:t xml:space="preserve"> du CNRS-L;</w:t>
      </w:r>
    </w:p>
    <w:p w14:paraId="6002EBE7" w14:textId="77777777" w:rsidR="00560BDD" w:rsidRPr="00680B81" w:rsidRDefault="00560BDD" w:rsidP="00287B44">
      <w:pPr>
        <w:pStyle w:val="ListParagraph"/>
        <w:numPr>
          <w:ilvl w:val="0"/>
          <w:numId w:val="3"/>
        </w:numPr>
        <w:jc w:val="both"/>
      </w:pPr>
      <w:r w:rsidRPr="00680B81">
        <w:t>le</w:t>
      </w:r>
      <w:r w:rsidR="0034483D" w:rsidRPr="00680B81">
        <w:t xml:space="preserve"> (la)</w:t>
      </w:r>
      <w:r w:rsidR="00946FBF" w:rsidRPr="00680B81">
        <w:t xml:space="preserve"> </w:t>
      </w:r>
      <w:r w:rsidR="007E70D7" w:rsidRPr="00680B81">
        <w:t>bénéficiaire</w:t>
      </w:r>
      <w:r w:rsidRPr="00680B81">
        <w:t xml:space="preserve"> de cette aide doit, clairement et </w:t>
      </w:r>
      <w:r w:rsidR="007E70D7" w:rsidRPr="00680B81">
        <w:t>explicitement</w:t>
      </w:r>
      <w:r w:rsidRPr="00680B81">
        <w:t xml:space="preserve"> faire mention de son progra</w:t>
      </w:r>
      <w:r w:rsidR="00CF0589" w:rsidRPr="00680B81">
        <w:t>mme de financement (AUF/CNRS-L/</w:t>
      </w:r>
      <w:r w:rsidR="00287B44" w:rsidRPr="00680B81">
        <w:t>USEK</w:t>
      </w:r>
      <w:r w:rsidRPr="00680B81">
        <w:t xml:space="preserve">) dans toute sorte de publications et contributions scientifiques </w:t>
      </w:r>
      <w:r w:rsidR="007E70D7" w:rsidRPr="00680B81">
        <w:t>liées</w:t>
      </w:r>
      <w:r w:rsidRPr="00680B81">
        <w:t xml:space="preserve"> au travail de </w:t>
      </w:r>
      <w:r w:rsidR="007E70D7" w:rsidRPr="00680B81">
        <w:t>thèse</w:t>
      </w:r>
      <w:r w:rsidRPr="00680B81">
        <w:t xml:space="preserve"> (articles, </w:t>
      </w:r>
      <w:r w:rsidR="007E70D7" w:rsidRPr="00680B81">
        <w:t>présentations</w:t>
      </w:r>
      <w:r w:rsidRPr="00680B81">
        <w:t xml:space="preserve"> orales, posters, actes du colloque, etc.);</w:t>
      </w:r>
    </w:p>
    <w:p w14:paraId="6B20E9C9" w14:textId="77777777" w:rsidR="000E69CA" w:rsidRPr="00680B81" w:rsidRDefault="00560BDD" w:rsidP="0028077A">
      <w:pPr>
        <w:pStyle w:val="ListParagraph"/>
        <w:numPr>
          <w:ilvl w:val="0"/>
          <w:numId w:val="3"/>
        </w:numPr>
        <w:jc w:val="both"/>
      </w:pPr>
      <w:r w:rsidRPr="00680B81">
        <w:t xml:space="preserve">en cas de manquement de ces </w:t>
      </w:r>
      <w:r w:rsidR="007E70D7" w:rsidRPr="00680B81">
        <w:t>restrictions</w:t>
      </w:r>
      <w:r w:rsidR="00946FBF" w:rsidRPr="00680B81">
        <w:t>,</w:t>
      </w:r>
      <w:r w:rsidRPr="00680B81">
        <w:t xml:space="preserve"> l’aide est </w:t>
      </w:r>
      <w:r w:rsidR="007E70D7" w:rsidRPr="00680B81">
        <w:t>arrêtée</w:t>
      </w:r>
      <w:r w:rsidRPr="00680B81">
        <w:t xml:space="preserve"> et le</w:t>
      </w:r>
      <w:r w:rsidR="00946FBF" w:rsidRPr="00680B81">
        <w:t xml:space="preserve"> </w:t>
      </w:r>
      <w:r w:rsidR="0034483D" w:rsidRPr="00680B81">
        <w:t>(la)</w:t>
      </w:r>
      <w:r w:rsidR="00946FBF" w:rsidRPr="00680B81">
        <w:t xml:space="preserve"> </w:t>
      </w:r>
      <w:r w:rsidR="007E70D7" w:rsidRPr="00680B81">
        <w:t>bénéficiaire</w:t>
      </w:r>
      <w:r w:rsidRPr="00680B81">
        <w:t xml:space="preserve"> s’engage </w:t>
      </w:r>
      <w:r w:rsidR="007E70D7" w:rsidRPr="00680B81">
        <w:t>à</w:t>
      </w:r>
      <w:r w:rsidRPr="00680B81">
        <w:t xml:space="preserve"> rembourser tous les fonds qu’il a déjà </w:t>
      </w:r>
      <w:r w:rsidR="007E70D7" w:rsidRPr="00680B81">
        <w:t>reçus</w:t>
      </w:r>
      <w:r w:rsidRPr="00680B81">
        <w:t xml:space="preserve">. Le remboursement doit se faire dans un </w:t>
      </w:r>
      <w:r w:rsidR="007E70D7" w:rsidRPr="00680B81">
        <w:t>délai</w:t>
      </w:r>
      <w:r w:rsidRPr="00680B81">
        <w:t xml:space="preserve"> de 45 jours au prorata des sommes </w:t>
      </w:r>
      <w:r w:rsidR="007E70D7" w:rsidRPr="00680B81">
        <w:t>versées</w:t>
      </w:r>
      <w:r w:rsidRPr="00680B81">
        <w:t xml:space="preserve"> par chaque partie.</w:t>
      </w:r>
    </w:p>
    <w:p w14:paraId="68B5C14C" w14:textId="77777777" w:rsidR="00560BDD" w:rsidRPr="00680B81" w:rsidRDefault="00560BDD" w:rsidP="0028077A">
      <w:pPr>
        <w:pStyle w:val="ListParagraph"/>
        <w:numPr>
          <w:ilvl w:val="0"/>
          <w:numId w:val="3"/>
        </w:numPr>
        <w:jc w:val="both"/>
      </w:pPr>
      <w:r w:rsidRPr="00680B81">
        <w:t xml:space="preserve">Lors de la </w:t>
      </w:r>
      <w:r w:rsidR="007E70D7" w:rsidRPr="00680B81">
        <w:t>sélection</w:t>
      </w:r>
      <w:r w:rsidRPr="00680B81">
        <w:t xml:space="preserve">, une attention </w:t>
      </w:r>
      <w:r w:rsidR="007E70D7" w:rsidRPr="00680B81">
        <w:t>particulière</w:t>
      </w:r>
      <w:r w:rsidRPr="00680B81">
        <w:t xml:space="preserve"> sera </w:t>
      </w:r>
      <w:r w:rsidR="007E70D7" w:rsidRPr="00680B81">
        <w:t>accordée</w:t>
      </w:r>
      <w:r w:rsidR="00A85AF0" w:rsidRPr="00680B81">
        <w:t xml:space="preserve"> </w:t>
      </w:r>
      <w:r w:rsidR="007E70D7" w:rsidRPr="00680B81">
        <w:t>à</w:t>
      </w:r>
      <w:r w:rsidRPr="00680B81">
        <w:t xml:space="preserve"> la dimension francophone de la candidature. </w:t>
      </w:r>
    </w:p>
    <w:p w14:paraId="1FC5756D" w14:textId="77777777" w:rsidR="000E69CA" w:rsidRPr="00680B81" w:rsidRDefault="000E69CA" w:rsidP="000E69CA">
      <w:pPr>
        <w:pStyle w:val="ListParagraph"/>
        <w:jc w:val="both"/>
      </w:pPr>
    </w:p>
    <w:p w14:paraId="753690E4" w14:textId="77777777" w:rsidR="007E70D7" w:rsidRPr="00680B81" w:rsidRDefault="007E70D7" w:rsidP="000E69CA">
      <w:pPr>
        <w:pStyle w:val="ListParagraph"/>
        <w:numPr>
          <w:ilvl w:val="0"/>
          <w:numId w:val="4"/>
        </w:numPr>
        <w:ind w:left="426"/>
        <w:jc w:val="both"/>
      </w:pPr>
      <w:r w:rsidRPr="00680B81">
        <w:t xml:space="preserve">Les deux </w:t>
      </w:r>
      <w:r w:rsidR="00CF0589" w:rsidRPr="00680B81">
        <w:t>établissements</w:t>
      </w:r>
      <w:r w:rsidRPr="00680B81">
        <w:t>, d’accueil et d’origine, doivent :</w:t>
      </w:r>
    </w:p>
    <w:p w14:paraId="496160CE" w14:textId="77777777" w:rsidR="00CF0589" w:rsidRPr="00680B81" w:rsidRDefault="00CF0589" w:rsidP="0028077A">
      <w:pPr>
        <w:pStyle w:val="ListParagraph"/>
        <w:numPr>
          <w:ilvl w:val="0"/>
          <w:numId w:val="3"/>
        </w:numPr>
        <w:jc w:val="both"/>
      </w:pPr>
      <w:r w:rsidRPr="00680B81">
        <w:t>ê</w:t>
      </w:r>
      <w:r w:rsidR="007E70D7" w:rsidRPr="00680B81">
        <w:t>tre situ</w:t>
      </w:r>
      <w:r w:rsidR="00946FBF" w:rsidRPr="00680B81">
        <w:t>é</w:t>
      </w:r>
      <w:r w:rsidR="007E70D7" w:rsidRPr="00680B81">
        <w:t xml:space="preserve">s dans deux pays </w:t>
      </w:r>
      <w:r w:rsidRPr="00680B81">
        <w:t>différents</w:t>
      </w:r>
      <w:r w:rsidR="001009EC" w:rsidRPr="00680B81">
        <w:t>.</w:t>
      </w:r>
    </w:p>
    <w:p w14:paraId="37CBA0EB" w14:textId="77777777" w:rsidR="001009EC" w:rsidRPr="00680B81" w:rsidRDefault="001009EC" w:rsidP="0028077A">
      <w:pPr>
        <w:pStyle w:val="ListParagraph"/>
        <w:jc w:val="both"/>
      </w:pPr>
    </w:p>
    <w:p w14:paraId="19E9284C" w14:textId="77777777" w:rsidR="00CF0589" w:rsidRPr="00680B81" w:rsidRDefault="00CF0589" w:rsidP="000E69CA">
      <w:pPr>
        <w:pStyle w:val="ListParagraph"/>
        <w:numPr>
          <w:ilvl w:val="0"/>
          <w:numId w:val="4"/>
        </w:numPr>
        <w:ind w:left="426"/>
        <w:jc w:val="both"/>
      </w:pPr>
      <w:r w:rsidRPr="00680B81">
        <w:t>L’établissement d’origine est celui dans lequel le</w:t>
      </w:r>
      <w:r w:rsidR="0034483D" w:rsidRPr="00680B81">
        <w:t xml:space="preserve"> (la)</w:t>
      </w:r>
      <w:r w:rsidRPr="00680B81">
        <w:t xml:space="preserve"> candidat</w:t>
      </w:r>
      <w:r w:rsidR="0034483D" w:rsidRPr="00680B81">
        <w:t>(e)</w:t>
      </w:r>
      <w:r w:rsidRPr="00680B81">
        <w:t xml:space="preserve"> est inscrit</w:t>
      </w:r>
      <w:r w:rsidR="0034483D" w:rsidRPr="00680B81">
        <w:t>(e)</w:t>
      </w:r>
      <w:r w:rsidRPr="00680B81">
        <w:t xml:space="preserve"> ou en contrat dans son pays d’origine. Il doit :</w:t>
      </w:r>
    </w:p>
    <w:p w14:paraId="20BBA5AE" w14:textId="77777777" w:rsidR="00CF0589" w:rsidRPr="00680B81" w:rsidRDefault="00CF0589" w:rsidP="0028077A">
      <w:pPr>
        <w:pStyle w:val="ListParagraph"/>
        <w:numPr>
          <w:ilvl w:val="0"/>
          <w:numId w:val="3"/>
        </w:numPr>
        <w:jc w:val="both"/>
      </w:pPr>
      <w:r w:rsidRPr="00680B81">
        <w:t>assurer le co-encadrement et d</w:t>
      </w:r>
      <w:r w:rsidR="00946FBF" w:rsidRPr="00680B81">
        <w:t>é</w:t>
      </w:r>
      <w:r w:rsidRPr="00680B81">
        <w:t>signer un co-directeur de la thèse.</w:t>
      </w:r>
    </w:p>
    <w:p w14:paraId="59CFD548" w14:textId="77777777" w:rsidR="00CF0589" w:rsidRPr="00680B81" w:rsidRDefault="00CF0589" w:rsidP="0028077A">
      <w:pPr>
        <w:pStyle w:val="ListParagraph"/>
        <w:jc w:val="both"/>
      </w:pPr>
    </w:p>
    <w:p w14:paraId="15361987" w14:textId="77777777" w:rsidR="00CF0589" w:rsidRPr="00680B81" w:rsidRDefault="00CF0589" w:rsidP="000E69CA">
      <w:pPr>
        <w:pStyle w:val="ListParagraph"/>
        <w:numPr>
          <w:ilvl w:val="0"/>
          <w:numId w:val="4"/>
        </w:numPr>
        <w:ind w:left="426"/>
        <w:jc w:val="both"/>
      </w:pPr>
      <w:r w:rsidRPr="00680B81">
        <w:t xml:space="preserve">L’établissement d’accueil est celui dans lequel </w:t>
      </w:r>
      <w:r w:rsidR="0034483D" w:rsidRPr="00680B81">
        <w:t xml:space="preserve">le (la) candidat(e) </w:t>
      </w:r>
      <w:r w:rsidRPr="00680B81">
        <w:t>effectue sa mobilité. Il doit :</w:t>
      </w:r>
    </w:p>
    <w:p w14:paraId="577E18DF" w14:textId="77777777" w:rsidR="00A56AAB" w:rsidRPr="00680B81" w:rsidRDefault="00CF0589" w:rsidP="0028077A">
      <w:pPr>
        <w:pStyle w:val="ListParagraph"/>
        <w:numPr>
          <w:ilvl w:val="0"/>
          <w:numId w:val="3"/>
        </w:numPr>
        <w:jc w:val="both"/>
      </w:pPr>
      <w:r w:rsidRPr="00680B81">
        <w:t>être un établissement d’enseignement supérieur en dehors du pays d’origine du candidat;</w:t>
      </w:r>
    </w:p>
    <w:p w14:paraId="1B8D1222" w14:textId="77777777" w:rsidR="00A56AAB" w:rsidRPr="00680B81" w:rsidRDefault="00A56AAB" w:rsidP="0028077A">
      <w:pPr>
        <w:pStyle w:val="ListParagraph"/>
        <w:numPr>
          <w:ilvl w:val="0"/>
          <w:numId w:val="3"/>
        </w:numPr>
        <w:jc w:val="both"/>
      </w:pPr>
      <w:r w:rsidRPr="00680B81">
        <w:t>justifier de sa capacité à organiser la formation de recherche sollicitée;</w:t>
      </w:r>
    </w:p>
    <w:p w14:paraId="0DFD6424" w14:textId="77777777" w:rsidR="00A56AAB" w:rsidRPr="00680B81" w:rsidRDefault="00A56AAB" w:rsidP="0028077A">
      <w:pPr>
        <w:pStyle w:val="ListParagraph"/>
        <w:numPr>
          <w:ilvl w:val="0"/>
          <w:numId w:val="3"/>
        </w:numPr>
        <w:jc w:val="both"/>
      </w:pPr>
      <w:r w:rsidRPr="00680B81">
        <w:t>justifier de son accord pour accueillir le (la) candidat(e).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4483D" w:rsidRPr="00680B81" w14:paraId="4DCF7571" w14:textId="77777777" w:rsidTr="0034483D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4CF77EFC" w14:textId="77777777" w:rsidR="0034483D" w:rsidRPr="00680B81" w:rsidRDefault="0034483D" w:rsidP="0034483D">
            <w:pPr>
              <w:jc w:val="center"/>
            </w:pPr>
            <w:r w:rsidRPr="00680B81">
              <w:t>SELECTION DES CANDIDATS</w:t>
            </w:r>
          </w:p>
        </w:tc>
      </w:tr>
    </w:tbl>
    <w:p w14:paraId="2AD95F79" w14:textId="77777777" w:rsidR="000E69CA" w:rsidRPr="00680B81" w:rsidRDefault="000E69CA" w:rsidP="00102F47">
      <w:pPr>
        <w:spacing w:after="0" w:line="240" w:lineRule="auto"/>
        <w:jc w:val="both"/>
      </w:pPr>
    </w:p>
    <w:p w14:paraId="70305C40" w14:textId="77777777" w:rsidR="009F7AC5" w:rsidRPr="00680B81" w:rsidRDefault="000344B7" w:rsidP="00102F47">
      <w:pPr>
        <w:spacing w:after="0" w:line="240" w:lineRule="auto"/>
        <w:jc w:val="both"/>
      </w:pPr>
      <w:r w:rsidRPr="00680B81">
        <w:t>Après</w:t>
      </w:r>
      <w:r w:rsidR="00313F09" w:rsidRPr="00680B81">
        <w:t xml:space="preserve"> la </w:t>
      </w:r>
      <w:r w:rsidR="00360DCE" w:rsidRPr="00680B81">
        <w:t>clôture</w:t>
      </w:r>
      <w:r w:rsidR="00313F09" w:rsidRPr="00680B81">
        <w:t xml:space="preserve"> de l’appel, l’AUF et le CNRS-L </w:t>
      </w:r>
      <w:r w:rsidR="00360DCE" w:rsidRPr="00680B81">
        <w:t>procèdent</w:t>
      </w:r>
      <w:r w:rsidR="005D5CE0" w:rsidRPr="00680B81">
        <w:t xml:space="preserve"> </w:t>
      </w:r>
      <w:r w:rsidR="00360DCE" w:rsidRPr="00680B81">
        <w:t>à</w:t>
      </w:r>
      <w:r w:rsidR="00313F09" w:rsidRPr="00680B81">
        <w:t xml:space="preserve"> l’</w:t>
      </w:r>
      <w:r w:rsidR="00360DCE" w:rsidRPr="00680B81">
        <w:t>étude</w:t>
      </w:r>
      <w:r w:rsidR="00313F09" w:rsidRPr="00680B81">
        <w:t xml:space="preserve"> de l’</w:t>
      </w:r>
      <w:r w:rsidR="00360DCE" w:rsidRPr="00680B81">
        <w:t>éligibilité</w:t>
      </w:r>
      <w:r w:rsidR="00313F09" w:rsidRPr="00680B81">
        <w:t xml:space="preserve"> administrative et </w:t>
      </w:r>
      <w:r w:rsidR="00360DCE" w:rsidRPr="00680B81">
        <w:t>à</w:t>
      </w:r>
      <w:r w:rsidR="00313F09" w:rsidRPr="00680B81">
        <w:t xml:space="preserve"> l’expertise scientifique des dossiers de candidature. </w:t>
      </w:r>
    </w:p>
    <w:p w14:paraId="0A500567" w14:textId="77777777" w:rsidR="00102F47" w:rsidRPr="00680B81" w:rsidRDefault="00102F47" w:rsidP="00102F47">
      <w:pPr>
        <w:spacing w:after="0" w:line="240" w:lineRule="auto"/>
        <w:jc w:val="both"/>
      </w:pPr>
    </w:p>
    <w:p w14:paraId="3AEC0787" w14:textId="77777777" w:rsidR="00313F09" w:rsidRPr="00680B81" w:rsidRDefault="00313F09" w:rsidP="00102F47">
      <w:pPr>
        <w:spacing w:after="0" w:line="240" w:lineRule="auto"/>
        <w:jc w:val="both"/>
      </w:pPr>
      <w:r w:rsidRPr="00680B81">
        <w:t xml:space="preserve">Une commission tripartite sera par la suite </w:t>
      </w:r>
      <w:r w:rsidR="00360DCE" w:rsidRPr="00680B81">
        <w:t>constituée</w:t>
      </w:r>
      <w:r w:rsidRPr="00680B81">
        <w:t xml:space="preserve"> afin de </w:t>
      </w:r>
      <w:r w:rsidR="00360DCE" w:rsidRPr="00680B81">
        <w:t>procéder</w:t>
      </w:r>
      <w:r w:rsidR="00A85AF0" w:rsidRPr="00680B81">
        <w:t xml:space="preserve"> </w:t>
      </w:r>
      <w:r w:rsidR="00360DCE" w:rsidRPr="00680B81">
        <w:t>à</w:t>
      </w:r>
      <w:r w:rsidRPr="00680B81">
        <w:t xml:space="preserve"> la </w:t>
      </w:r>
      <w:r w:rsidR="00360DCE" w:rsidRPr="00680B81">
        <w:t>sélection</w:t>
      </w:r>
      <w:r w:rsidRPr="00680B81">
        <w:t xml:space="preserve"> des dossiers. Le nombre de candidats retenus sera fixé en accord avec les partenaires et </w:t>
      </w:r>
      <w:r w:rsidR="00360DCE" w:rsidRPr="00680B81">
        <w:t>à</w:t>
      </w:r>
      <w:r w:rsidRPr="00680B81">
        <w:t xml:space="preserve"> concurrence des budgets disponibles. </w:t>
      </w:r>
    </w:p>
    <w:p w14:paraId="0BE987FC" w14:textId="77777777" w:rsidR="00102F47" w:rsidRPr="00680B81" w:rsidRDefault="00102F47" w:rsidP="00102F47">
      <w:pPr>
        <w:spacing w:after="0" w:line="240" w:lineRule="auto"/>
        <w:jc w:val="both"/>
      </w:pPr>
    </w:p>
    <w:p w14:paraId="19127C08" w14:textId="77777777" w:rsidR="00313F09" w:rsidRPr="00680B81" w:rsidRDefault="00313F09" w:rsidP="00102F47">
      <w:pPr>
        <w:spacing w:after="0" w:line="240" w:lineRule="auto"/>
        <w:jc w:val="both"/>
      </w:pPr>
      <w:r w:rsidRPr="00680B81">
        <w:t xml:space="preserve">Les </w:t>
      </w:r>
      <w:r w:rsidR="00360DCE" w:rsidRPr="00680B81">
        <w:t>décisions</w:t>
      </w:r>
      <w:r w:rsidRPr="00680B81">
        <w:t xml:space="preserve"> de la commission sont soumises </w:t>
      </w:r>
      <w:r w:rsidR="00360DCE" w:rsidRPr="00680B81">
        <w:t>à</w:t>
      </w:r>
      <w:r w:rsidRPr="00680B81">
        <w:t xml:space="preserve"> la validation des </w:t>
      </w:r>
      <w:r w:rsidR="00360DCE" w:rsidRPr="00680B81">
        <w:t>autorités</w:t>
      </w:r>
      <w:r w:rsidR="00A85AF0" w:rsidRPr="00680B81">
        <w:t xml:space="preserve"> </w:t>
      </w:r>
      <w:r w:rsidR="00360DCE" w:rsidRPr="00680B81">
        <w:t>compétentes</w:t>
      </w:r>
      <w:r w:rsidRPr="00680B81">
        <w:t xml:space="preserve"> de chaque partenaire. Ainsi, la </w:t>
      </w:r>
      <w:r w:rsidR="00360DCE" w:rsidRPr="00680B81">
        <w:t>sélection</w:t>
      </w:r>
      <w:r w:rsidRPr="00680B81">
        <w:t xml:space="preserve"> sera </w:t>
      </w:r>
      <w:r w:rsidR="00360DCE" w:rsidRPr="00680B81">
        <w:t>considérée</w:t>
      </w:r>
      <w:r w:rsidRPr="00680B81">
        <w:t xml:space="preserve"> finale </w:t>
      </w:r>
      <w:r w:rsidR="00360DCE" w:rsidRPr="00680B81">
        <w:t>après</w:t>
      </w:r>
      <w:r w:rsidRPr="00680B81">
        <w:t xml:space="preserve"> la validation par la Commission </w:t>
      </w:r>
      <w:r w:rsidR="00360DCE" w:rsidRPr="00680B81">
        <w:t>Régionale</w:t>
      </w:r>
      <w:r w:rsidRPr="00680B81">
        <w:t xml:space="preserve"> d’Experts (CRE) de l’AUF, par le Conseil Scientifique du CNRS-L et le Conseil de </w:t>
      </w:r>
      <w:r w:rsidR="005D5CE0" w:rsidRPr="00680B81">
        <w:t>l’USEK</w:t>
      </w:r>
      <w:r w:rsidRPr="00680B81">
        <w:t xml:space="preserve">. </w:t>
      </w:r>
    </w:p>
    <w:p w14:paraId="752CFC32" w14:textId="77777777" w:rsidR="00102F47" w:rsidRPr="00680B81" w:rsidRDefault="00102F47" w:rsidP="00102F47">
      <w:pPr>
        <w:spacing w:after="0" w:line="240" w:lineRule="auto"/>
        <w:jc w:val="both"/>
      </w:pPr>
    </w:p>
    <w:p w14:paraId="59D3FA55" w14:textId="77777777" w:rsidR="00360DCE" w:rsidRPr="00680B81" w:rsidRDefault="00360DCE" w:rsidP="00102F47">
      <w:pPr>
        <w:spacing w:after="0" w:line="240" w:lineRule="auto"/>
        <w:jc w:val="both"/>
      </w:pPr>
      <w:r w:rsidRPr="00680B81">
        <w:t>Les candidats présélectionnés recevront un courrier électronique les avisant des pièces complémentaires à fournir.</w:t>
      </w:r>
    </w:p>
    <w:p w14:paraId="34376592" w14:textId="77777777" w:rsidR="00360DCE" w:rsidRPr="00680B81" w:rsidRDefault="00360DCE" w:rsidP="00102F47">
      <w:pPr>
        <w:spacing w:after="0" w:line="240" w:lineRule="auto"/>
        <w:jc w:val="both"/>
      </w:pPr>
      <w:r w:rsidRPr="00680B81">
        <w:t>Aucun dossier ne sera retourné au candidat.</w:t>
      </w:r>
    </w:p>
    <w:p w14:paraId="4C4071F2" w14:textId="77777777" w:rsidR="00102F47" w:rsidRPr="00680B81" w:rsidRDefault="00102F47" w:rsidP="00102F47">
      <w:pPr>
        <w:spacing w:after="0" w:line="240" w:lineRule="auto"/>
        <w:jc w:val="both"/>
      </w:pPr>
    </w:p>
    <w:p w14:paraId="5F603DEF" w14:textId="7FCA0E37" w:rsidR="00360DCE" w:rsidRDefault="00360DCE" w:rsidP="00102F47">
      <w:pPr>
        <w:spacing w:after="0" w:line="240" w:lineRule="auto"/>
        <w:jc w:val="both"/>
      </w:pPr>
      <w:r w:rsidRPr="00680B81">
        <w:t xml:space="preserve">Les résultats définitifs seront affichés sur les sites web de l’AUF, du CNRS-L et de </w:t>
      </w:r>
      <w:r w:rsidR="005D5CE0" w:rsidRPr="00680B81">
        <w:t>l’USEK</w:t>
      </w:r>
      <w:r w:rsidRPr="00680B81">
        <w:t>.</w:t>
      </w:r>
    </w:p>
    <w:p w14:paraId="05904A12" w14:textId="77777777" w:rsidR="00680B81" w:rsidRPr="00680B81" w:rsidRDefault="00680B81" w:rsidP="00102F47">
      <w:pPr>
        <w:spacing w:after="0" w:line="240" w:lineRule="auto"/>
        <w:jc w:val="both"/>
      </w:pPr>
    </w:p>
    <w:p w14:paraId="0A34DEAE" w14:textId="77777777" w:rsidR="00102F47" w:rsidRPr="00680B81" w:rsidRDefault="00102F47" w:rsidP="00102F47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5D3C" w:rsidRPr="00680B81" w14:paraId="69D80D47" w14:textId="77777777" w:rsidTr="000D5D3C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294F7F6C" w14:textId="77777777" w:rsidR="000D5D3C" w:rsidRPr="00680B81" w:rsidRDefault="000D5D3C" w:rsidP="000D5D3C">
            <w:pPr>
              <w:jc w:val="center"/>
            </w:pPr>
            <w:r w:rsidRPr="00680B81">
              <w:lastRenderedPageBreak/>
              <w:t>CRITERES DE SELECTION</w:t>
            </w:r>
          </w:p>
        </w:tc>
      </w:tr>
    </w:tbl>
    <w:p w14:paraId="20823BBB" w14:textId="77777777" w:rsidR="000E69CA" w:rsidRPr="00680B81" w:rsidRDefault="000E69CA" w:rsidP="000E69CA">
      <w:pPr>
        <w:spacing w:after="0" w:line="240" w:lineRule="auto"/>
        <w:jc w:val="both"/>
      </w:pPr>
    </w:p>
    <w:p w14:paraId="3F3A2DBB" w14:textId="77777777" w:rsidR="000D5D3C" w:rsidRPr="00680B81" w:rsidRDefault="00114438" w:rsidP="0028077A">
      <w:pPr>
        <w:jc w:val="both"/>
      </w:pPr>
      <w:r w:rsidRPr="00680B81">
        <w:t>Les principaux critères retenus pour la procédure de sélection sont :</w:t>
      </w:r>
    </w:p>
    <w:p w14:paraId="35F92CA3" w14:textId="77777777" w:rsidR="00114438" w:rsidRPr="00680B81" w:rsidRDefault="00114438" w:rsidP="0028077A">
      <w:pPr>
        <w:pStyle w:val="ListParagraph"/>
        <w:numPr>
          <w:ilvl w:val="0"/>
          <w:numId w:val="8"/>
        </w:numPr>
        <w:jc w:val="both"/>
      </w:pPr>
      <w:r w:rsidRPr="00680B81">
        <w:t>la qualité académique et scientifique du dossier (notes, classement, motivation, travaux, publications …) ;</w:t>
      </w:r>
    </w:p>
    <w:p w14:paraId="33322A8E" w14:textId="77777777" w:rsidR="00114438" w:rsidRPr="00680B81" w:rsidRDefault="00114438" w:rsidP="0028077A">
      <w:pPr>
        <w:pStyle w:val="ListParagraph"/>
        <w:numPr>
          <w:ilvl w:val="0"/>
          <w:numId w:val="8"/>
        </w:numPr>
        <w:jc w:val="both"/>
      </w:pPr>
      <w:r w:rsidRPr="00680B81">
        <w:t>les o</w:t>
      </w:r>
      <w:r w:rsidR="005D5CE0" w:rsidRPr="00680B81">
        <w:t>bjectifs scientifiques recherché</w:t>
      </w:r>
      <w:r w:rsidRPr="00680B81">
        <w:t>s par le (la) candidate(e) et les retombées à court terme pour les établissements d’origine et d’accueil ;</w:t>
      </w:r>
    </w:p>
    <w:p w14:paraId="26974C0D" w14:textId="77777777" w:rsidR="00114438" w:rsidRPr="00680B81" w:rsidRDefault="00114438" w:rsidP="005D5CE0">
      <w:pPr>
        <w:pStyle w:val="ListParagraph"/>
        <w:numPr>
          <w:ilvl w:val="0"/>
          <w:numId w:val="8"/>
        </w:numPr>
        <w:jc w:val="both"/>
      </w:pPr>
      <w:r w:rsidRPr="00680B81">
        <w:t>l’opportunité du dossier de candidature pour le développement des universités et des pays impliqu</w:t>
      </w:r>
      <w:r w:rsidR="005D5CE0" w:rsidRPr="00680B81">
        <w:t>é</w:t>
      </w:r>
      <w:r w:rsidRPr="00680B81">
        <w:t>s ;</w:t>
      </w:r>
    </w:p>
    <w:p w14:paraId="154D469F" w14:textId="77777777" w:rsidR="00114438" w:rsidRPr="00680B81" w:rsidRDefault="00114438" w:rsidP="0028077A">
      <w:pPr>
        <w:pStyle w:val="ListParagraph"/>
        <w:numPr>
          <w:ilvl w:val="0"/>
          <w:numId w:val="8"/>
        </w:numPr>
        <w:jc w:val="both"/>
      </w:pPr>
      <w:r w:rsidRPr="00680B81">
        <w:t>l’existence et le renforcement du partenariat entre les deux établissements, d’origine et d’accueil ;</w:t>
      </w:r>
    </w:p>
    <w:p w14:paraId="509B0891" w14:textId="77777777" w:rsidR="00114438" w:rsidRPr="00680B81" w:rsidRDefault="00114438" w:rsidP="0028077A">
      <w:pPr>
        <w:pStyle w:val="ListParagraph"/>
        <w:numPr>
          <w:ilvl w:val="0"/>
          <w:numId w:val="8"/>
        </w:numPr>
        <w:jc w:val="both"/>
      </w:pPr>
      <w:r w:rsidRPr="00680B81">
        <w:t>le flux de mobilité</w:t>
      </w:r>
      <w:r w:rsidR="001009EC" w:rsidRPr="00680B81">
        <w:t> ;</w:t>
      </w:r>
    </w:p>
    <w:p w14:paraId="66A49577" w14:textId="77777777" w:rsidR="00114438" w:rsidRPr="00680B81" w:rsidRDefault="00114438" w:rsidP="0028077A">
      <w:pPr>
        <w:pStyle w:val="ListParagraph"/>
        <w:numPr>
          <w:ilvl w:val="0"/>
          <w:numId w:val="8"/>
        </w:numPr>
        <w:jc w:val="both"/>
      </w:pPr>
      <w:r w:rsidRPr="00680B81">
        <w:t>la priorité aux candidates, à qualité scientifique égale des dossiers ;</w:t>
      </w:r>
    </w:p>
    <w:p w14:paraId="5306DA8F" w14:textId="77777777" w:rsidR="00114438" w:rsidRPr="00680B81" w:rsidRDefault="00114438" w:rsidP="0028077A">
      <w:pPr>
        <w:pStyle w:val="ListParagraph"/>
        <w:numPr>
          <w:ilvl w:val="0"/>
          <w:numId w:val="8"/>
        </w:numPr>
        <w:jc w:val="both"/>
      </w:pPr>
      <w:r w:rsidRPr="00680B81">
        <w:t>la dimension francophone du projet et l’usage de la langue française.</w:t>
      </w:r>
    </w:p>
    <w:p w14:paraId="48FB821B" w14:textId="77777777" w:rsidR="00A9311E" w:rsidRPr="00680B81" w:rsidRDefault="00A9311E" w:rsidP="00A9311E">
      <w:pPr>
        <w:pStyle w:val="ListParagraph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114438" w:rsidRPr="00680B81" w14:paraId="6C6F3856" w14:textId="77777777" w:rsidTr="00392181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73BB1DB2" w14:textId="77777777" w:rsidR="00114438" w:rsidRPr="00680B81" w:rsidRDefault="00114438" w:rsidP="00114438">
            <w:pPr>
              <w:pStyle w:val="ListParagraph"/>
              <w:ind w:left="0"/>
              <w:jc w:val="center"/>
            </w:pPr>
            <w:r w:rsidRPr="00680B81">
              <w:t>MODALITES DE PRISE EN CHARGE</w:t>
            </w:r>
          </w:p>
        </w:tc>
      </w:tr>
    </w:tbl>
    <w:p w14:paraId="01D1330F" w14:textId="77777777" w:rsidR="00102F47" w:rsidRPr="00680B81" w:rsidRDefault="00102F47" w:rsidP="00102F47">
      <w:pPr>
        <w:spacing w:after="0" w:line="240" w:lineRule="auto"/>
        <w:jc w:val="both"/>
      </w:pPr>
    </w:p>
    <w:p w14:paraId="51A064A5" w14:textId="77777777" w:rsidR="00114438" w:rsidRPr="00680B81" w:rsidRDefault="00F23594" w:rsidP="00102F47">
      <w:pPr>
        <w:spacing w:after="0" w:line="240" w:lineRule="auto"/>
        <w:jc w:val="both"/>
      </w:pPr>
      <w:r w:rsidRPr="00680B81">
        <w:t>Mobilité</w:t>
      </w:r>
      <w:r w:rsidR="00114438" w:rsidRPr="00680B81">
        <w:t xml:space="preserve"> doctorale AUF/CNRS-L/</w:t>
      </w:r>
      <w:r w:rsidR="005D5CE0" w:rsidRPr="00680B81">
        <w:t>USEK</w:t>
      </w:r>
      <w:r w:rsidR="00114438" w:rsidRPr="00680B81">
        <w:t xml:space="preserve">, </w:t>
      </w:r>
      <w:r w:rsidRPr="00680B81">
        <w:t>étudiée</w:t>
      </w:r>
      <w:r w:rsidR="00114438" w:rsidRPr="00680B81">
        <w:t xml:space="preserve"> chaque </w:t>
      </w:r>
      <w:r w:rsidRPr="00680B81">
        <w:t>année</w:t>
      </w:r>
      <w:r w:rsidR="00114438" w:rsidRPr="00680B81">
        <w:t xml:space="preserve"> : </w:t>
      </w:r>
      <w:r w:rsidRPr="00680B81">
        <w:t>accordée</w:t>
      </w:r>
      <w:r w:rsidR="00114438" w:rsidRPr="00680B81">
        <w:t xml:space="preserve"> pour une </w:t>
      </w:r>
      <w:r w:rsidRPr="00680B81">
        <w:t>durée</w:t>
      </w:r>
      <w:r w:rsidR="00114438" w:rsidRPr="00680B81">
        <w:t xml:space="preserve"> d’une </w:t>
      </w:r>
      <w:r w:rsidRPr="00680B81">
        <w:t>année</w:t>
      </w:r>
      <w:r w:rsidR="005D5CE0" w:rsidRPr="00680B81">
        <w:t xml:space="preserve"> </w:t>
      </w:r>
      <w:r w:rsidRPr="00680B81">
        <w:t>académique</w:t>
      </w:r>
      <w:r w:rsidR="00114438" w:rsidRPr="00680B81">
        <w:t xml:space="preserve">, renouvelable deux fois au maximum </w:t>
      </w:r>
      <w:r w:rsidRPr="00680B81">
        <w:t>à</w:t>
      </w:r>
      <w:r w:rsidR="00114438" w:rsidRPr="00680B81">
        <w:t xml:space="preserve"> partir de l’</w:t>
      </w:r>
      <w:r w:rsidRPr="00680B81">
        <w:t>année</w:t>
      </w:r>
      <w:r w:rsidR="005D5CE0" w:rsidRPr="00680B81">
        <w:t xml:space="preserve"> </w:t>
      </w:r>
      <w:r w:rsidRPr="00680B81">
        <w:t>académique</w:t>
      </w:r>
      <w:r w:rsidR="00114438" w:rsidRPr="00680B81">
        <w:t xml:space="preserve"> de la </w:t>
      </w:r>
      <w:r w:rsidRPr="00680B81">
        <w:t>première</w:t>
      </w:r>
      <w:r w:rsidR="00114438" w:rsidRPr="00680B81">
        <w:t xml:space="preserve"> inscription en </w:t>
      </w:r>
      <w:r w:rsidRPr="00680B81">
        <w:t>thèse</w:t>
      </w:r>
      <w:r w:rsidR="00114438" w:rsidRPr="00680B81">
        <w:t xml:space="preserve">, ainsi que sur la base des </w:t>
      </w:r>
      <w:r w:rsidRPr="00680B81">
        <w:t>résultats</w:t>
      </w:r>
      <w:r w:rsidR="00114438" w:rsidRPr="00680B81">
        <w:t xml:space="preserve"> obtenus et de leur </w:t>
      </w:r>
      <w:r w:rsidRPr="00680B81">
        <w:t>évaluation</w:t>
      </w:r>
      <w:r w:rsidR="00114438" w:rsidRPr="00680B81">
        <w:t xml:space="preserve"> annuelle favorable. </w:t>
      </w:r>
    </w:p>
    <w:p w14:paraId="1141EF81" w14:textId="77777777" w:rsidR="00392181" w:rsidRPr="00680B81" w:rsidRDefault="00392181" w:rsidP="00102F47">
      <w:pPr>
        <w:spacing w:after="0" w:line="240" w:lineRule="auto"/>
        <w:jc w:val="both"/>
      </w:pPr>
    </w:p>
    <w:p w14:paraId="298DDF03" w14:textId="77777777" w:rsidR="00114438" w:rsidRPr="00680B81" w:rsidRDefault="00F23594" w:rsidP="00102F47">
      <w:pPr>
        <w:spacing w:after="0" w:line="240" w:lineRule="auto"/>
        <w:jc w:val="both"/>
        <w:rPr>
          <w:b/>
          <w:bCs/>
        </w:rPr>
      </w:pPr>
      <w:r w:rsidRPr="00680B81">
        <w:rPr>
          <w:b/>
          <w:bCs/>
        </w:rPr>
        <w:t>Année académique</w:t>
      </w:r>
      <w:r w:rsidR="00931B8D" w:rsidRPr="00680B81">
        <w:rPr>
          <w:b/>
          <w:bCs/>
        </w:rPr>
        <w:tab/>
      </w:r>
      <w:r w:rsidR="00931B8D" w:rsidRPr="00680B81">
        <w:rPr>
          <w:b/>
          <w:bCs/>
        </w:rPr>
        <w:tab/>
      </w:r>
      <w:r w:rsidR="00931B8D" w:rsidRPr="00680B81">
        <w:rPr>
          <w:b/>
          <w:bCs/>
        </w:rPr>
        <w:tab/>
        <w:t>Soutien possible pendant les années académiques (si les</w:t>
      </w:r>
    </w:p>
    <w:p w14:paraId="42B143F1" w14:textId="77777777" w:rsidR="00F23594" w:rsidRPr="00680B81" w:rsidRDefault="00F23594" w:rsidP="00102F47">
      <w:pPr>
        <w:spacing w:after="0" w:line="240" w:lineRule="auto"/>
        <w:jc w:val="both"/>
        <w:rPr>
          <w:b/>
          <w:bCs/>
        </w:rPr>
      </w:pPr>
      <w:r w:rsidRPr="00680B81">
        <w:rPr>
          <w:b/>
          <w:bCs/>
        </w:rPr>
        <w:t>de 1</w:t>
      </w:r>
      <w:r w:rsidR="00392181" w:rsidRPr="00680B81">
        <w:rPr>
          <w:b/>
          <w:bCs/>
          <w:vertAlign w:val="superscript"/>
        </w:rPr>
        <w:t>è</w:t>
      </w:r>
      <w:r w:rsidRPr="00680B81">
        <w:rPr>
          <w:b/>
          <w:bCs/>
          <w:vertAlign w:val="superscript"/>
        </w:rPr>
        <w:t>re</w:t>
      </w:r>
      <w:r w:rsidRPr="00680B81">
        <w:rPr>
          <w:b/>
          <w:bCs/>
        </w:rPr>
        <w:t xml:space="preserve"> in</w:t>
      </w:r>
      <w:r w:rsidR="00931B8D" w:rsidRPr="00680B81">
        <w:rPr>
          <w:b/>
          <w:bCs/>
        </w:rPr>
        <w:t>scription</w:t>
      </w:r>
      <w:r w:rsidRPr="00680B81">
        <w:rPr>
          <w:b/>
          <w:bCs/>
        </w:rPr>
        <w:t> :</w:t>
      </w:r>
      <w:r w:rsidR="00931B8D" w:rsidRPr="00680B81">
        <w:rPr>
          <w:b/>
          <w:bCs/>
        </w:rPr>
        <w:tab/>
      </w:r>
      <w:r w:rsidR="00931B8D" w:rsidRPr="00680B81">
        <w:rPr>
          <w:b/>
          <w:bCs/>
        </w:rPr>
        <w:tab/>
      </w:r>
      <w:r w:rsidR="00392181" w:rsidRPr="00680B81">
        <w:rPr>
          <w:b/>
          <w:bCs/>
        </w:rPr>
        <w:tab/>
      </w:r>
      <w:r w:rsidRPr="00680B81">
        <w:rPr>
          <w:b/>
          <w:bCs/>
        </w:rPr>
        <w:t>renouvellements sont acceptés) :</w:t>
      </w:r>
    </w:p>
    <w:p w14:paraId="258843D4" w14:textId="77777777" w:rsidR="00392181" w:rsidRPr="00680B81" w:rsidRDefault="00392181" w:rsidP="00102F47">
      <w:pPr>
        <w:spacing w:after="0" w:line="240" w:lineRule="auto"/>
        <w:jc w:val="both"/>
      </w:pPr>
    </w:p>
    <w:p w14:paraId="779ED63B" w14:textId="79EF3D36" w:rsidR="00F23594" w:rsidRPr="00680B81" w:rsidRDefault="00680B81" w:rsidP="00102F47">
      <w:pPr>
        <w:spacing w:after="0" w:line="240" w:lineRule="auto"/>
        <w:jc w:val="both"/>
      </w:pPr>
      <w:r>
        <w:t>2020-2021</w:t>
      </w:r>
      <w:r w:rsidR="00F23594" w:rsidRPr="00680B81">
        <w:tab/>
      </w:r>
      <w:r w:rsidR="00392181" w:rsidRPr="00680B81">
        <w:tab/>
      </w:r>
      <w:r w:rsidR="00392181" w:rsidRPr="00680B81">
        <w:tab/>
      </w:r>
      <w:r w:rsidR="00F23594" w:rsidRPr="00680B81">
        <w:tab/>
      </w:r>
      <w:r w:rsidR="00A9311E" w:rsidRPr="00680B81">
        <w:t>2020-2021</w:t>
      </w:r>
      <w:r w:rsidR="00F23594" w:rsidRPr="00680B81">
        <w:t xml:space="preserve"> + </w:t>
      </w:r>
      <w:r w:rsidR="00A9311E" w:rsidRPr="00680B81">
        <w:t>2021-2022</w:t>
      </w:r>
      <w:r w:rsidR="00F23594" w:rsidRPr="00680B81">
        <w:t xml:space="preserve"> </w:t>
      </w:r>
      <w:r>
        <w:t xml:space="preserve">+ 2022-2023 </w:t>
      </w:r>
      <w:r w:rsidR="00F23594" w:rsidRPr="00680B81">
        <w:t>(soit 3 années)</w:t>
      </w:r>
    </w:p>
    <w:p w14:paraId="1625D4E5" w14:textId="77777777" w:rsidR="001E43AE" w:rsidRDefault="001E43AE" w:rsidP="00102F47">
      <w:pPr>
        <w:spacing w:after="0" w:line="240" w:lineRule="auto"/>
        <w:jc w:val="both"/>
      </w:pPr>
    </w:p>
    <w:p w14:paraId="238D9ACF" w14:textId="6F7FD546" w:rsidR="00F23594" w:rsidRPr="00680B81" w:rsidRDefault="00680B81" w:rsidP="00102F47">
      <w:pPr>
        <w:spacing w:after="0" w:line="240" w:lineRule="auto"/>
        <w:jc w:val="both"/>
      </w:pPr>
      <w:r>
        <w:t>2019-2020</w:t>
      </w:r>
      <w:r w:rsidR="00F23594" w:rsidRPr="00680B81">
        <w:tab/>
      </w:r>
      <w:r w:rsidR="00F23594" w:rsidRPr="00680B81">
        <w:tab/>
      </w:r>
      <w:r w:rsidR="00392181" w:rsidRPr="00680B81">
        <w:tab/>
      </w:r>
      <w:r w:rsidR="00392181" w:rsidRPr="00680B81">
        <w:tab/>
      </w:r>
      <w:r w:rsidR="00A9311E" w:rsidRPr="00680B81">
        <w:t>2020-2021</w:t>
      </w:r>
      <w:r w:rsidR="00F23594" w:rsidRPr="00680B81">
        <w:t xml:space="preserve"> </w:t>
      </w:r>
      <w:r>
        <w:t xml:space="preserve">+ 2022-2023 </w:t>
      </w:r>
      <w:r w:rsidR="00F23594" w:rsidRPr="00680B81">
        <w:t>(soit 2 années)</w:t>
      </w:r>
    </w:p>
    <w:p w14:paraId="0A78B6F7" w14:textId="77777777" w:rsidR="00F23594" w:rsidRPr="00680B81" w:rsidRDefault="00F23594" w:rsidP="00102F47">
      <w:pPr>
        <w:pStyle w:val="ListParagraph"/>
        <w:spacing w:after="0" w:line="240" w:lineRule="auto"/>
        <w:ind w:left="3600" w:hanging="2880"/>
        <w:jc w:val="both"/>
      </w:pPr>
    </w:p>
    <w:p w14:paraId="540FEB4F" w14:textId="77777777" w:rsidR="00F23594" w:rsidRPr="00680B81" w:rsidRDefault="00587620" w:rsidP="00102F47">
      <w:pPr>
        <w:spacing w:after="0" w:line="240" w:lineRule="auto"/>
        <w:jc w:val="both"/>
        <w:rPr>
          <w:u w:val="single"/>
        </w:rPr>
      </w:pPr>
      <w:r w:rsidRPr="00680B81">
        <w:rPr>
          <w:u w:val="single"/>
        </w:rPr>
        <w:t>Déroulement</w:t>
      </w:r>
      <w:r w:rsidR="00F23594" w:rsidRPr="00680B81">
        <w:rPr>
          <w:u w:val="single"/>
        </w:rPr>
        <w:t xml:space="preserve"> de la </w:t>
      </w:r>
      <w:r w:rsidRPr="00680B81">
        <w:rPr>
          <w:u w:val="single"/>
        </w:rPr>
        <w:t>mobilité</w:t>
      </w:r>
      <w:r w:rsidR="00F23594" w:rsidRPr="00680B81">
        <w:rPr>
          <w:u w:val="single"/>
        </w:rPr>
        <w:t xml:space="preserve"> doctorale :</w:t>
      </w:r>
    </w:p>
    <w:p w14:paraId="01C31DC7" w14:textId="77777777" w:rsidR="00F23594" w:rsidRPr="00680B81" w:rsidRDefault="00F23594" w:rsidP="00102F47">
      <w:pPr>
        <w:spacing w:after="0" w:line="240" w:lineRule="auto"/>
        <w:jc w:val="both"/>
      </w:pPr>
      <w:r w:rsidRPr="00680B81">
        <w:t xml:space="preserve">L’allocataire de la </w:t>
      </w:r>
      <w:r w:rsidR="00931B8D" w:rsidRPr="00680B81">
        <w:t>mobilité</w:t>
      </w:r>
      <w:r w:rsidRPr="00680B81">
        <w:t xml:space="preserve"> doctorale </w:t>
      </w:r>
      <w:r w:rsidR="00931B8D" w:rsidRPr="00680B81">
        <w:t>mènera</w:t>
      </w:r>
      <w:r w:rsidRPr="00680B81">
        <w:t xml:space="preserve">, chaque </w:t>
      </w:r>
      <w:r w:rsidR="00931B8D" w:rsidRPr="00680B81">
        <w:t>année</w:t>
      </w:r>
      <w:r w:rsidRPr="00680B81">
        <w:t xml:space="preserve">, ses recherches alternativement dans le pays d’origine et dans le pays d’accueil. Chaque </w:t>
      </w:r>
      <w:r w:rsidR="00931B8D" w:rsidRPr="00680B81">
        <w:t>année</w:t>
      </w:r>
      <w:r w:rsidR="005D5CE0" w:rsidRPr="00680B81">
        <w:t xml:space="preserve"> </w:t>
      </w:r>
      <w:r w:rsidR="00931B8D" w:rsidRPr="00680B81">
        <w:t>académique</w:t>
      </w:r>
      <w:r w:rsidRPr="00680B81">
        <w:t xml:space="preserve"> de </w:t>
      </w:r>
      <w:r w:rsidR="00931B8D" w:rsidRPr="00680B81">
        <w:t>déroule</w:t>
      </w:r>
      <w:r w:rsidRPr="00680B81">
        <w:t xml:space="preserve"> en 2 </w:t>
      </w:r>
      <w:r w:rsidR="00931B8D" w:rsidRPr="00680B81">
        <w:t>périodes</w:t>
      </w:r>
      <w:r w:rsidR="005D5CE0" w:rsidRPr="00680B81">
        <w:t xml:space="preserve"> </w:t>
      </w:r>
      <w:r w:rsidR="00931B8D" w:rsidRPr="00680B81">
        <w:t>consécutives</w:t>
      </w:r>
      <w:r w:rsidRPr="00680B81">
        <w:t xml:space="preserve"> et sans interruption : une </w:t>
      </w:r>
      <w:r w:rsidR="00931B8D" w:rsidRPr="00680B81">
        <w:t>période</w:t>
      </w:r>
      <w:r w:rsidRPr="00680B81">
        <w:t xml:space="preserve"> dans le pays de l’</w:t>
      </w:r>
      <w:r w:rsidR="00931B8D" w:rsidRPr="00680B81">
        <w:t>établissement</w:t>
      </w:r>
      <w:r w:rsidRPr="00680B81">
        <w:t xml:space="preserve"> d’origine et une </w:t>
      </w:r>
      <w:r w:rsidR="00931B8D" w:rsidRPr="00680B81">
        <w:t>période</w:t>
      </w:r>
      <w:r w:rsidRPr="00680B81">
        <w:t xml:space="preserve"> dans l’</w:t>
      </w:r>
      <w:r w:rsidR="00931B8D" w:rsidRPr="00680B81">
        <w:t>établissement</w:t>
      </w:r>
      <w:r w:rsidRPr="00680B81">
        <w:t xml:space="preserve"> d’accueil. La </w:t>
      </w:r>
      <w:r w:rsidR="00931B8D" w:rsidRPr="00680B81">
        <w:t>période</w:t>
      </w:r>
      <w:r w:rsidRPr="00680B81">
        <w:t xml:space="preserve"> dans le pays d’accueil est d’une </w:t>
      </w:r>
      <w:r w:rsidR="00931B8D" w:rsidRPr="00680B81">
        <w:t>durée</w:t>
      </w:r>
      <w:r w:rsidRPr="00680B81">
        <w:t xml:space="preserve"> minimale de 3 mois en continu </w:t>
      </w:r>
      <w:r w:rsidR="00587620" w:rsidRPr="00680B81">
        <w:t xml:space="preserve">et maximale de 6 mois. </w:t>
      </w:r>
    </w:p>
    <w:p w14:paraId="355A1A3C" w14:textId="77777777" w:rsidR="00102F47" w:rsidRPr="00680B81" w:rsidRDefault="00102F47" w:rsidP="00102F47">
      <w:pPr>
        <w:spacing w:after="0" w:line="240" w:lineRule="auto"/>
        <w:jc w:val="both"/>
      </w:pPr>
    </w:p>
    <w:p w14:paraId="5CAD3974" w14:textId="77777777" w:rsidR="00587620" w:rsidRPr="00680B81" w:rsidRDefault="00587620" w:rsidP="00102F47">
      <w:pPr>
        <w:spacing w:after="0" w:line="240" w:lineRule="auto"/>
        <w:jc w:val="both"/>
      </w:pPr>
      <w:r w:rsidRPr="00680B81">
        <w:t xml:space="preserve">La prise en charge annuelle du (de la) doctorant(e) sera </w:t>
      </w:r>
      <w:r w:rsidR="0042310F" w:rsidRPr="00680B81">
        <w:t>répartie tel que suit :</w:t>
      </w:r>
    </w:p>
    <w:p w14:paraId="7C81F6D2" w14:textId="68AD5328" w:rsidR="0042310F" w:rsidRPr="00680B81" w:rsidRDefault="0042310F" w:rsidP="00102F47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680B81">
        <w:t>AUF</w:t>
      </w:r>
      <w:r w:rsidRPr="00680B81">
        <w:tab/>
        <w:t xml:space="preserve">: 2 000 € </w:t>
      </w:r>
    </w:p>
    <w:p w14:paraId="20E6D4C5" w14:textId="77777777" w:rsidR="0042310F" w:rsidRPr="00680B81" w:rsidRDefault="0042310F" w:rsidP="00102F47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680B81">
        <w:t>CNRS-L</w:t>
      </w:r>
      <w:r w:rsidRPr="00680B81">
        <w:tab/>
        <w:t>: 4 500 000 LL</w:t>
      </w:r>
    </w:p>
    <w:p w14:paraId="527D546B" w14:textId="77777777" w:rsidR="0042310F" w:rsidRPr="00680B81" w:rsidRDefault="005D5CE0" w:rsidP="00102F47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680B81">
        <w:t>USEK</w:t>
      </w:r>
      <w:r w:rsidR="0042310F" w:rsidRPr="00680B81">
        <w:tab/>
        <w:t>: 3 000 000 LL</w:t>
      </w:r>
    </w:p>
    <w:p w14:paraId="2D1C7852" w14:textId="77777777" w:rsidR="00102F47" w:rsidRPr="00680B81" w:rsidRDefault="00102F47" w:rsidP="009008E5">
      <w:pPr>
        <w:pStyle w:val="ListParagraph"/>
        <w:spacing w:after="0" w:line="240" w:lineRule="auto"/>
        <w:ind w:left="1080"/>
        <w:jc w:val="both"/>
      </w:pPr>
    </w:p>
    <w:p w14:paraId="3840A766" w14:textId="77777777" w:rsidR="0042310F" w:rsidRPr="00680B81" w:rsidRDefault="0042310F" w:rsidP="00102F47">
      <w:pPr>
        <w:spacing w:after="0" w:line="240" w:lineRule="auto"/>
        <w:jc w:val="both"/>
      </w:pPr>
      <w:r w:rsidRPr="00680B81">
        <w:t xml:space="preserve">L’aide </w:t>
      </w:r>
      <w:r w:rsidR="00931B8D" w:rsidRPr="00680B81">
        <w:t>financière</w:t>
      </w:r>
      <w:r w:rsidRPr="00680B81">
        <w:t xml:space="preserve"> de </w:t>
      </w:r>
      <w:r w:rsidR="00931B8D" w:rsidRPr="00680B81">
        <w:t>mobilité</w:t>
      </w:r>
      <w:r w:rsidRPr="00680B81">
        <w:t xml:space="preserve"> sera </w:t>
      </w:r>
      <w:r w:rsidR="00931B8D" w:rsidRPr="00680B81">
        <w:t>versée</w:t>
      </w:r>
      <w:r w:rsidRPr="00680B81">
        <w:t xml:space="preserve"> en deux tranches </w:t>
      </w:r>
      <w:r w:rsidR="00931B8D" w:rsidRPr="00680B81">
        <w:t>égales</w:t>
      </w:r>
      <w:r w:rsidRPr="00680B81">
        <w:t> : la moiti</w:t>
      </w:r>
      <w:r w:rsidR="00392181" w:rsidRPr="00680B81">
        <w:t>é</w:t>
      </w:r>
      <w:r w:rsidR="005D5CE0" w:rsidRPr="00680B81">
        <w:t xml:space="preserve"> </w:t>
      </w:r>
      <w:r w:rsidR="00931B8D" w:rsidRPr="00680B81">
        <w:t>après</w:t>
      </w:r>
      <w:r w:rsidRPr="00680B81">
        <w:t xml:space="preserve"> la signature de la convention reliant les parties </w:t>
      </w:r>
      <w:r w:rsidR="00931B8D" w:rsidRPr="00680B81">
        <w:t>au (</w:t>
      </w:r>
      <w:r w:rsidRPr="00680B81">
        <w:t xml:space="preserve">à la) doctorant(e) et la </w:t>
      </w:r>
      <w:r w:rsidR="00931B8D" w:rsidRPr="00680B81">
        <w:t>réception</w:t>
      </w:r>
      <w:r w:rsidRPr="00680B81">
        <w:t xml:space="preserve"> des justificatifs d’inscriptions universitaires, et le reste au cours du mois de juin, ce </w:t>
      </w:r>
      <w:r w:rsidR="00931B8D" w:rsidRPr="00680B81">
        <w:t>deuxième</w:t>
      </w:r>
      <w:r w:rsidRPr="00680B81">
        <w:t xml:space="preserve"> versement </w:t>
      </w:r>
      <w:r w:rsidR="00931B8D" w:rsidRPr="00680B81">
        <w:t>étant</w:t>
      </w:r>
      <w:r w:rsidRPr="00680B81">
        <w:t xml:space="preserve"> conditionn</w:t>
      </w:r>
      <w:r w:rsidR="00392181" w:rsidRPr="00680B81">
        <w:t xml:space="preserve">é </w:t>
      </w:r>
      <w:r w:rsidRPr="00680B81">
        <w:t xml:space="preserve">par la </w:t>
      </w:r>
      <w:r w:rsidR="00931B8D" w:rsidRPr="00680B81">
        <w:t>réception</w:t>
      </w:r>
      <w:r w:rsidRPr="00680B81">
        <w:t xml:space="preserve"> d’un rapport d’avancement des travaux de recherche. Ce rapport doit </w:t>
      </w:r>
      <w:r w:rsidR="00931B8D" w:rsidRPr="00680B81">
        <w:t>être</w:t>
      </w:r>
      <w:r w:rsidR="005D5CE0" w:rsidRPr="00680B81">
        <w:t xml:space="preserve"> </w:t>
      </w:r>
      <w:r w:rsidR="00931B8D" w:rsidRPr="00680B81">
        <w:t>rédig</w:t>
      </w:r>
      <w:r w:rsidR="00392181" w:rsidRPr="00680B81">
        <w:t>é</w:t>
      </w:r>
      <w:r w:rsidRPr="00680B81">
        <w:t xml:space="preserve"> par </w:t>
      </w:r>
      <w:r w:rsidR="00931B8D" w:rsidRPr="00680B81">
        <w:t>le (</w:t>
      </w:r>
      <w:r w:rsidRPr="00680B81">
        <w:t>la) doctorant(e) et valid</w:t>
      </w:r>
      <w:r w:rsidR="00392181" w:rsidRPr="00680B81">
        <w:t>é</w:t>
      </w:r>
      <w:r w:rsidRPr="00680B81">
        <w:t xml:space="preserve"> par les deux directeurs de recherche. </w:t>
      </w:r>
    </w:p>
    <w:p w14:paraId="2362C415" w14:textId="77777777" w:rsidR="00102F47" w:rsidRPr="00680B81" w:rsidRDefault="00102F47" w:rsidP="00102F47">
      <w:pPr>
        <w:spacing w:after="0" w:line="240" w:lineRule="auto"/>
        <w:jc w:val="both"/>
      </w:pPr>
    </w:p>
    <w:p w14:paraId="393D1700" w14:textId="5C3D59B8" w:rsidR="005E7C4C" w:rsidRPr="00680B81" w:rsidRDefault="00931B8D" w:rsidP="00FA4ABC">
      <w:pPr>
        <w:spacing w:after="0" w:line="240" w:lineRule="auto"/>
        <w:jc w:val="both"/>
      </w:pPr>
      <w:r w:rsidRPr="00680B81">
        <w:t>Le (</w:t>
      </w:r>
      <w:r w:rsidR="0042310F" w:rsidRPr="00680B81">
        <w:t xml:space="preserve">la) </w:t>
      </w:r>
      <w:r w:rsidRPr="00680B81">
        <w:t>bénéficiaire</w:t>
      </w:r>
      <w:r w:rsidR="0042310F" w:rsidRPr="00680B81">
        <w:t xml:space="preserve"> est responsable de la gestion des montants qui lui sont allou</w:t>
      </w:r>
      <w:r w:rsidR="00392181" w:rsidRPr="00680B81">
        <w:t>é</w:t>
      </w:r>
      <w:r w:rsidR="0042310F" w:rsidRPr="00680B81">
        <w:t xml:space="preserve">s. Il est responsable de la </w:t>
      </w:r>
      <w:r w:rsidRPr="00680B81">
        <w:t>réservation</w:t>
      </w:r>
      <w:r w:rsidR="0042310F" w:rsidRPr="00680B81">
        <w:t xml:space="preserve"> et de l’achat du titre de transport, de la souscription d’une assurance ainsi que de la gestion de ses frais de </w:t>
      </w:r>
      <w:r w:rsidRPr="00680B81">
        <w:t>séjour</w:t>
      </w:r>
      <w:r w:rsidR="0042310F" w:rsidRPr="00680B81">
        <w:t xml:space="preserve">. Les </w:t>
      </w:r>
      <w:r w:rsidRPr="00680B81">
        <w:t>modalités</w:t>
      </w:r>
      <w:r w:rsidR="0042310F" w:rsidRPr="00680B81">
        <w:t xml:space="preserve"> de contrôle de l’</w:t>
      </w:r>
      <w:r w:rsidRPr="00680B81">
        <w:t>exécution</w:t>
      </w:r>
      <w:r w:rsidR="0042310F" w:rsidRPr="00680B81">
        <w:t xml:space="preserve"> du soutien seront </w:t>
      </w:r>
      <w:r w:rsidRPr="00680B81">
        <w:t>définies</w:t>
      </w:r>
      <w:r w:rsidR="0042310F" w:rsidRPr="00680B81">
        <w:t xml:space="preserve"> dans la convention qui liera </w:t>
      </w:r>
      <w:r w:rsidRPr="00680B81">
        <w:t>le (</w:t>
      </w:r>
      <w:r w:rsidR="0042310F" w:rsidRPr="00680B81">
        <w:t xml:space="preserve">la) </w:t>
      </w:r>
      <w:r w:rsidRPr="00680B81">
        <w:t>bénéficiaire</w:t>
      </w:r>
      <w:r w:rsidR="0042310F" w:rsidRPr="00680B81">
        <w:t xml:space="preserve"> aux parties. </w:t>
      </w:r>
    </w:p>
    <w:p w14:paraId="77A81E82" w14:textId="77777777" w:rsidR="005E7C4C" w:rsidRPr="00680B81" w:rsidRDefault="005E7C4C" w:rsidP="00102F47">
      <w:pPr>
        <w:spacing w:after="0" w:line="240" w:lineRule="auto"/>
        <w:jc w:val="both"/>
        <w:rPr>
          <w:u w:val="single"/>
        </w:rPr>
      </w:pPr>
      <w:r w:rsidRPr="00680B81">
        <w:rPr>
          <w:u w:val="single"/>
        </w:rPr>
        <w:lastRenderedPageBreak/>
        <w:t xml:space="preserve">Renouvellement de la </w:t>
      </w:r>
      <w:r w:rsidR="00931B8D" w:rsidRPr="00680B81">
        <w:rPr>
          <w:u w:val="single"/>
        </w:rPr>
        <w:t>mobilité</w:t>
      </w:r>
      <w:r w:rsidRPr="00680B81">
        <w:rPr>
          <w:u w:val="single"/>
        </w:rPr>
        <w:t xml:space="preserve"> doctorale :</w:t>
      </w:r>
    </w:p>
    <w:p w14:paraId="07A75452" w14:textId="77777777" w:rsidR="005E7C4C" w:rsidRPr="00680B81" w:rsidRDefault="005E7C4C" w:rsidP="00102F47">
      <w:pPr>
        <w:spacing w:after="0" w:line="240" w:lineRule="auto"/>
        <w:jc w:val="both"/>
      </w:pPr>
      <w:r w:rsidRPr="00680B81">
        <w:t xml:space="preserve">Le soutien financier de </w:t>
      </w:r>
      <w:r w:rsidR="00931B8D" w:rsidRPr="00680B81">
        <w:t>mobilité</w:t>
      </w:r>
      <w:r w:rsidRPr="00680B81">
        <w:t xml:space="preserve"> est </w:t>
      </w:r>
      <w:r w:rsidR="00931B8D" w:rsidRPr="00680B81">
        <w:t>accordé</w:t>
      </w:r>
      <w:r w:rsidRPr="00680B81">
        <w:t xml:space="preserve"> pour une </w:t>
      </w:r>
      <w:r w:rsidR="00931B8D" w:rsidRPr="00680B81">
        <w:t>durée</w:t>
      </w:r>
      <w:r w:rsidRPr="00680B81">
        <w:t xml:space="preserve"> d’un an. Il peut </w:t>
      </w:r>
      <w:r w:rsidR="00931B8D" w:rsidRPr="00680B81">
        <w:t>être</w:t>
      </w:r>
      <w:r w:rsidR="00A85AF0" w:rsidRPr="00680B81">
        <w:t xml:space="preserve"> </w:t>
      </w:r>
      <w:r w:rsidR="00931B8D" w:rsidRPr="00680B81">
        <w:t>renouvelé</w:t>
      </w:r>
      <w:r w:rsidRPr="00680B81">
        <w:t xml:space="preserve"> deux fois au maximum pour une </w:t>
      </w:r>
      <w:r w:rsidR="00931B8D" w:rsidRPr="00680B81">
        <w:t>durée</w:t>
      </w:r>
      <w:r w:rsidRPr="00680B81">
        <w:t xml:space="preserve"> totale maximale de trois ans. Le renouvellement du soutien est conditionn</w:t>
      </w:r>
      <w:r w:rsidR="00392181" w:rsidRPr="00680B81">
        <w:t>é</w:t>
      </w:r>
      <w:r w:rsidRPr="00680B81">
        <w:t xml:space="preserve"> par la remise d’un rapport annuel d’avancement des travaux qui fera l’objet d’une expertise </w:t>
      </w:r>
      <w:r w:rsidR="00931B8D" w:rsidRPr="00680B81">
        <w:t>opérée</w:t>
      </w:r>
      <w:r w:rsidRPr="00680B81">
        <w:t xml:space="preserve"> par des che</w:t>
      </w:r>
      <w:r w:rsidR="00286DE4" w:rsidRPr="00680B81">
        <w:t xml:space="preserve">rcheurs de chaque domaine. </w:t>
      </w:r>
    </w:p>
    <w:p w14:paraId="395A8144" w14:textId="77777777" w:rsidR="000344B7" w:rsidRPr="00680B81" w:rsidRDefault="000344B7" w:rsidP="00102F47">
      <w:pPr>
        <w:spacing w:after="0" w:line="240" w:lineRule="auto"/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450"/>
      </w:tblGrid>
      <w:tr w:rsidR="00392181" w:rsidRPr="00680B81" w14:paraId="750F3F43" w14:textId="77777777" w:rsidTr="00392181"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601DDF60" w14:textId="77777777" w:rsidR="00392181" w:rsidRPr="00680B81" w:rsidRDefault="00392181" w:rsidP="00392181">
            <w:pPr>
              <w:jc w:val="center"/>
            </w:pPr>
            <w:r w:rsidRPr="00680B81">
              <w:t>OBLIGATION DES ETABLISSEMENTS</w:t>
            </w:r>
          </w:p>
        </w:tc>
      </w:tr>
    </w:tbl>
    <w:p w14:paraId="64FAE1ED" w14:textId="77777777" w:rsidR="00102F47" w:rsidRPr="00680B81" w:rsidRDefault="00102F47" w:rsidP="00102F47">
      <w:pPr>
        <w:spacing w:after="0" w:line="240" w:lineRule="auto"/>
        <w:ind w:left="720"/>
        <w:jc w:val="center"/>
      </w:pPr>
    </w:p>
    <w:p w14:paraId="07BA3338" w14:textId="77777777" w:rsidR="00392181" w:rsidRPr="00680B81" w:rsidRDefault="00392181" w:rsidP="00102F47">
      <w:pPr>
        <w:spacing w:after="0" w:line="240" w:lineRule="auto"/>
        <w:ind w:left="720"/>
        <w:jc w:val="center"/>
      </w:pPr>
      <w:r w:rsidRPr="00680B81">
        <w:t>LES ETABLISSEMENTS, D’ORIGINE ET D’ACCUEIL DE L’ALLOCATAIRE, S’ENGAGENT A :</w:t>
      </w:r>
    </w:p>
    <w:p w14:paraId="0D4B90F6" w14:textId="77777777" w:rsidR="00392181" w:rsidRPr="00680B81" w:rsidRDefault="00392181" w:rsidP="00102F47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680B81">
        <w:t xml:space="preserve">faire respecter par l’allocataire le </w:t>
      </w:r>
      <w:r w:rsidR="00FD4930" w:rsidRPr="00680B81">
        <w:t>présent</w:t>
      </w:r>
      <w:r w:rsidR="005D5CE0" w:rsidRPr="00680B81">
        <w:t xml:space="preserve"> </w:t>
      </w:r>
      <w:r w:rsidR="00FD4930" w:rsidRPr="00680B81">
        <w:t>règlement</w:t>
      </w:r>
      <w:r w:rsidRPr="00680B81">
        <w:t> ;</w:t>
      </w:r>
    </w:p>
    <w:p w14:paraId="2704E7E3" w14:textId="77777777" w:rsidR="00392181" w:rsidRPr="00680B81" w:rsidRDefault="00392181" w:rsidP="00102F47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680B81">
        <w:t xml:space="preserve">informer, dans les meilleurs </w:t>
      </w:r>
      <w:r w:rsidR="00FD4930" w:rsidRPr="00680B81">
        <w:t>délais</w:t>
      </w:r>
      <w:r w:rsidRPr="00680B81">
        <w:t>, les</w:t>
      </w:r>
      <w:r w:rsidR="005D5CE0" w:rsidRPr="00680B81">
        <w:t xml:space="preserve"> </w:t>
      </w:r>
      <w:r w:rsidRPr="00680B81">
        <w:t xml:space="preserve">parties de tout </w:t>
      </w:r>
      <w:r w:rsidR="00FD4930" w:rsidRPr="00680B81">
        <w:t>arrêt</w:t>
      </w:r>
      <w:r w:rsidR="005D5CE0" w:rsidRPr="00680B81">
        <w:t xml:space="preserve"> </w:t>
      </w:r>
      <w:r w:rsidR="00FD4930" w:rsidRPr="00680B81">
        <w:t>prématuré</w:t>
      </w:r>
      <w:r w:rsidRPr="00680B81">
        <w:t xml:space="preserve"> des recherches de l’allocataire ;</w:t>
      </w:r>
    </w:p>
    <w:p w14:paraId="0240C3FD" w14:textId="77777777" w:rsidR="00392181" w:rsidRPr="00680B81" w:rsidRDefault="005D5CE0" w:rsidP="00102F47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680B81">
        <w:t xml:space="preserve">communiquer aux </w:t>
      </w:r>
      <w:r w:rsidR="00FD4930" w:rsidRPr="00680B81">
        <w:t xml:space="preserve">parties, après la soutenance, une copie du diplôme de doctorat, le rapport de soutenance, et le </w:t>
      </w:r>
      <w:r w:rsidR="00FA3153" w:rsidRPr="00680B81">
        <w:t>résumé</w:t>
      </w:r>
      <w:r w:rsidR="00FD4930" w:rsidRPr="00680B81">
        <w:t xml:space="preserve"> de la </w:t>
      </w:r>
      <w:r w:rsidR="00FA3153" w:rsidRPr="00680B81">
        <w:t>thèse</w:t>
      </w:r>
      <w:r w:rsidR="00FD4930" w:rsidRPr="00680B81">
        <w:t xml:space="preserve"> en </w:t>
      </w:r>
      <w:r w:rsidR="00FA3153" w:rsidRPr="00680B81">
        <w:t>français</w:t>
      </w:r>
      <w:r w:rsidR="00FD4930" w:rsidRPr="00680B81">
        <w:t xml:space="preserve"> de l’allocataire. A des fins de valorisation, l’AUF se </w:t>
      </w:r>
      <w:r w:rsidRPr="00680B81">
        <w:t>réserve</w:t>
      </w:r>
      <w:r w:rsidR="00FD4930" w:rsidRPr="00680B81">
        <w:t xml:space="preserve"> notamment le droit de publier tout ou une partie du </w:t>
      </w:r>
      <w:r w:rsidR="00FA3153" w:rsidRPr="00680B81">
        <w:t>résumé</w:t>
      </w:r>
      <w:r w:rsidR="00FD4930" w:rsidRPr="00680B81">
        <w:t xml:space="preserve"> de la </w:t>
      </w:r>
      <w:r w:rsidR="00FA3153" w:rsidRPr="00680B81">
        <w:t>thèse</w:t>
      </w:r>
      <w:r w:rsidR="00FD4930" w:rsidRPr="00680B81">
        <w:t xml:space="preserve"> en mentionnant le nom, le titre et la </w:t>
      </w:r>
      <w:r w:rsidR="00FA3153" w:rsidRPr="00680B81">
        <w:t>qualité</w:t>
      </w:r>
      <w:r w:rsidR="00FD4930" w:rsidRPr="00680B81">
        <w:t xml:space="preserve"> de l’allocataire, sur le portail (hal-confremo.archives-ouvertes.fr) des archives ouvertes du Moyen-Orient. L’AUF se </w:t>
      </w:r>
      <w:r w:rsidR="00FA3153" w:rsidRPr="00680B81">
        <w:t>réserve</w:t>
      </w:r>
      <w:r w:rsidRPr="00680B81">
        <w:t xml:space="preserve"> </w:t>
      </w:r>
      <w:r w:rsidR="00FA3153" w:rsidRPr="00680B81">
        <w:t>également</w:t>
      </w:r>
      <w:r w:rsidR="00FD4930" w:rsidRPr="00680B81">
        <w:t xml:space="preserve"> la </w:t>
      </w:r>
      <w:r w:rsidR="00FA3153" w:rsidRPr="00680B81">
        <w:t>possibilité</w:t>
      </w:r>
      <w:r w:rsidR="00FD4930" w:rsidRPr="00680B81">
        <w:t xml:space="preserve"> de diffuser </w:t>
      </w:r>
      <w:r w:rsidR="00FA3153" w:rsidRPr="00680B81">
        <w:t>auprès</w:t>
      </w:r>
      <w:r w:rsidR="00FD4930" w:rsidRPr="00680B81">
        <w:t xml:space="preserve"> de ses </w:t>
      </w:r>
      <w:r w:rsidR="00FA3153" w:rsidRPr="00680B81">
        <w:t>différents</w:t>
      </w:r>
      <w:r w:rsidR="00FD4930" w:rsidRPr="00680B81">
        <w:t xml:space="preserve"> partenaires institutionnels de </w:t>
      </w:r>
      <w:r w:rsidR="00FA3153" w:rsidRPr="00680B81">
        <w:t>différents</w:t>
      </w:r>
      <w:r w:rsidR="00FD4930" w:rsidRPr="00680B81">
        <w:t xml:space="preserve"> pays l’œuvre et les travaux ayant </w:t>
      </w:r>
      <w:r w:rsidR="00FA3153" w:rsidRPr="00680B81">
        <w:t>donné</w:t>
      </w:r>
      <w:r w:rsidR="00FD4930" w:rsidRPr="00680B81">
        <w:t xml:space="preserve"> lieu </w:t>
      </w:r>
      <w:r w:rsidR="00FA3153" w:rsidRPr="00680B81">
        <w:t>à</w:t>
      </w:r>
      <w:r w:rsidR="00FD4930" w:rsidRPr="00680B81">
        <w:t xml:space="preserve"> la </w:t>
      </w:r>
      <w:r w:rsidR="00FA3153" w:rsidRPr="00680B81">
        <w:t>thèse</w:t>
      </w:r>
      <w:r w:rsidR="00FD4930" w:rsidRPr="00680B81">
        <w:t xml:space="preserve"> de doctorat ; l’AUF n’entend tirer aucun </w:t>
      </w:r>
      <w:r w:rsidR="00FA3153" w:rsidRPr="00680B81">
        <w:t>bénéfice</w:t>
      </w:r>
      <w:r w:rsidR="00FD4930" w:rsidRPr="00680B81">
        <w:t xml:space="preserve"> des travaux de l’allocataire doctorant(e) ;</w:t>
      </w:r>
    </w:p>
    <w:p w14:paraId="09AB7032" w14:textId="77777777" w:rsidR="00FD4930" w:rsidRPr="00680B81" w:rsidRDefault="00FD4930" w:rsidP="0028077A">
      <w:pPr>
        <w:pStyle w:val="ListParagraph"/>
        <w:numPr>
          <w:ilvl w:val="0"/>
          <w:numId w:val="11"/>
        </w:numPr>
        <w:jc w:val="both"/>
      </w:pPr>
      <w:r w:rsidRPr="00680B81">
        <w:t xml:space="preserve">faire respecter par l’allocataire les lois et </w:t>
      </w:r>
      <w:r w:rsidR="00FA3153" w:rsidRPr="00680B81">
        <w:t>règlements</w:t>
      </w:r>
      <w:r w:rsidRPr="00680B81">
        <w:t xml:space="preserve"> en vigueur au sein du pays d’accueil, en particulier les dispositions qui s’appliquent </w:t>
      </w:r>
      <w:r w:rsidR="00FA3153" w:rsidRPr="00680B81">
        <w:t>à</w:t>
      </w:r>
      <w:r w:rsidRPr="00680B81">
        <w:t xml:space="preserve"> lui (elle) en </w:t>
      </w:r>
      <w:r w:rsidR="00FA3153" w:rsidRPr="00680B81">
        <w:t>matière</w:t>
      </w:r>
      <w:r w:rsidRPr="00680B81">
        <w:t xml:space="preserve"> d’</w:t>
      </w:r>
      <w:r w:rsidR="00FA3153" w:rsidRPr="00680B81">
        <w:t>entrée</w:t>
      </w:r>
      <w:r w:rsidRPr="00680B81">
        <w:t xml:space="preserve"> et de </w:t>
      </w:r>
      <w:r w:rsidR="00FA3153" w:rsidRPr="00680B81">
        <w:t>séjour</w:t>
      </w:r>
      <w:r w:rsidRPr="00680B81">
        <w:t xml:space="preserve"> sur le territoire ;</w:t>
      </w:r>
    </w:p>
    <w:p w14:paraId="10FBD2E2" w14:textId="77777777" w:rsidR="00FD4930" w:rsidRPr="00680B81" w:rsidRDefault="00FD4930" w:rsidP="0028077A">
      <w:pPr>
        <w:pStyle w:val="ListParagraph"/>
        <w:numPr>
          <w:ilvl w:val="0"/>
          <w:numId w:val="11"/>
        </w:numPr>
        <w:jc w:val="both"/>
      </w:pPr>
      <w:r w:rsidRPr="00680B81">
        <w:t xml:space="preserve">faire respecter par l’allocataire les </w:t>
      </w:r>
      <w:r w:rsidR="00FA3153" w:rsidRPr="00680B81">
        <w:t>règlements</w:t>
      </w:r>
      <w:r w:rsidRPr="00680B81">
        <w:t xml:space="preserve"> en vigueur au sein des </w:t>
      </w:r>
      <w:r w:rsidR="00FA3153" w:rsidRPr="00680B81">
        <w:t>établissements</w:t>
      </w:r>
      <w:r w:rsidRPr="00680B81">
        <w:t xml:space="preserve"> d’origine et d’accueil.</w:t>
      </w:r>
    </w:p>
    <w:p w14:paraId="27D5F2B9" w14:textId="77777777" w:rsidR="005359E6" w:rsidRPr="00680B81" w:rsidRDefault="005359E6" w:rsidP="005359E6">
      <w:pPr>
        <w:pStyle w:val="ListParagraph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930" w:rsidRPr="00680B81" w14:paraId="447B970A" w14:textId="77777777" w:rsidTr="00FD4930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55CD6A80" w14:textId="77777777" w:rsidR="00FD4930" w:rsidRPr="00680B81" w:rsidRDefault="00FD4930" w:rsidP="00FD4930">
            <w:pPr>
              <w:jc w:val="center"/>
            </w:pPr>
            <w:r w:rsidRPr="00680B81">
              <w:t>CALENDRIER</w:t>
            </w:r>
          </w:p>
        </w:tc>
      </w:tr>
    </w:tbl>
    <w:p w14:paraId="545E3765" w14:textId="77777777" w:rsidR="00102F47" w:rsidRPr="00680B81" w:rsidRDefault="00102F47" w:rsidP="00102F47">
      <w:pPr>
        <w:spacing w:after="0" w:line="240" w:lineRule="auto"/>
      </w:pPr>
    </w:p>
    <w:p w14:paraId="3D7FF296" w14:textId="0EBD6996" w:rsidR="00FD4930" w:rsidRPr="00680B81" w:rsidRDefault="00A700DA" w:rsidP="00FD4930">
      <w:r>
        <w:t>28 avril</w:t>
      </w:r>
      <w:r w:rsidR="00A9311E" w:rsidRPr="00680B81">
        <w:t xml:space="preserve"> 20</w:t>
      </w:r>
      <w:r w:rsidR="00680B81">
        <w:t>20</w:t>
      </w:r>
      <w:r w:rsidR="00FA3153" w:rsidRPr="00680B81">
        <w:tab/>
      </w:r>
      <w:r w:rsidR="00FA3153" w:rsidRPr="00680B81">
        <w:tab/>
        <w:t>: lancement et diffusion de l’appel à candidature</w:t>
      </w:r>
    </w:p>
    <w:p w14:paraId="708A369C" w14:textId="5A5E75BB" w:rsidR="00FA3153" w:rsidRPr="00680B81" w:rsidRDefault="00A700DA" w:rsidP="00DE41F1">
      <w:r>
        <w:t>25 juin</w:t>
      </w:r>
      <w:r w:rsidR="00680B81">
        <w:t xml:space="preserve"> 2020</w:t>
      </w:r>
      <w:r w:rsidR="00FA3153" w:rsidRPr="00680B81">
        <w:tab/>
      </w:r>
      <w:r w:rsidR="00FA3153" w:rsidRPr="00680B81">
        <w:tab/>
        <w:t>: clôture de l’appel à candidature</w:t>
      </w:r>
    </w:p>
    <w:p w14:paraId="015E01E0" w14:textId="121553E7" w:rsidR="00FA3153" w:rsidRPr="00680B81" w:rsidRDefault="00A9311E" w:rsidP="00FD4930">
      <w:r w:rsidRPr="00680B81">
        <w:t>Juin</w:t>
      </w:r>
      <w:r w:rsidR="00A72C68">
        <w:t>-Juillet</w:t>
      </w:r>
      <w:r w:rsidRPr="00680B81">
        <w:t xml:space="preserve"> 20</w:t>
      </w:r>
      <w:r w:rsidR="00680B81">
        <w:t>20</w:t>
      </w:r>
      <w:r w:rsidRPr="00680B81">
        <w:tab/>
      </w:r>
      <w:r w:rsidR="00FA3153" w:rsidRPr="00680B81">
        <w:tab/>
        <w:t>: présélection et notification des résultats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569" w:rsidRPr="00680B81" w14:paraId="11F07640" w14:textId="77777777" w:rsidTr="00445569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E7AA3F4" w14:textId="77777777" w:rsidR="00445569" w:rsidRPr="00680B81" w:rsidRDefault="00445569" w:rsidP="00445569">
            <w:pPr>
              <w:jc w:val="center"/>
            </w:pPr>
            <w:r w:rsidRPr="00680B81">
              <w:t>CONSTITUTION DU DOSSIER DE CANDIDATURE</w:t>
            </w:r>
          </w:p>
        </w:tc>
      </w:tr>
    </w:tbl>
    <w:p w14:paraId="50F5337A" w14:textId="77777777" w:rsidR="00102F47" w:rsidRPr="00680B81" w:rsidRDefault="00102F47" w:rsidP="0028077A">
      <w:pPr>
        <w:jc w:val="both"/>
        <w:rPr>
          <w:b/>
          <w:color w:val="FF0000"/>
          <w:u w:val="single"/>
        </w:rPr>
      </w:pPr>
    </w:p>
    <w:p w14:paraId="69C4B6AF" w14:textId="77777777" w:rsidR="00445569" w:rsidRPr="00680B81" w:rsidRDefault="00445569" w:rsidP="0028077A">
      <w:pPr>
        <w:jc w:val="both"/>
        <w:rPr>
          <w:b/>
        </w:rPr>
      </w:pPr>
      <w:r w:rsidRPr="00680B81">
        <w:rPr>
          <w:b/>
          <w:color w:val="FF0000"/>
          <w:u w:val="single"/>
        </w:rPr>
        <w:t>IMPORTANT</w:t>
      </w:r>
      <w:r w:rsidRPr="00680B81">
        <w:rPr>
          <w:b/>
        </w:rPr>
        <w:t>– REGLES DE SOUMISSION :</w:t>
      </w:r>
    </w:p>
    <w:p w14:paraId="3AA13430" w14:textId="77777777" w:rsidR="00445569" w:rsidRPr="00680B81" w:rsidRDefault="00445569" w:rsidP="0028077A">
      <w:pPr>
        <w:pStyle w:val="ListParagraph"/>
        <w:numPr>
          <w:ilvl w:val="0"/>
          <w:numId w:val="12"/>
        </w:numPr>
        <w:jc w:val="both"/>
      </w:pPr>
      <w:r w:rsidRPr="00680B81">
        <w:t xml:space="preserve">le dossier de candidature doit obligatoirement </w:t>
      </w:r>
      <w:r w:rsidR="00760154" w:rsidRPr="00680B81">
        <w:t>être</w:t>
      </w:r>
      <w:r w:rsidR="001009EC" w:rsidRPr="00680B81">
        <w:t xml:space="preserve"> </w:t>
      </w:r>
      <w:r w:rsidR="00760154" w:rsidRPr="00680B81">
        <w:t>complété</w:t>
      </w:r>
      <w:r w:rsidR="005D5CE0" w:rsidRPr="00680B81">
        <w:t xml:space="preserve"> et déposé auprès d</w:t>
      </w:r>
      <w:r w:rsidR="0097518D" w:rsidRPr="00680B81">
        <w:t xml:space="preserve">e l’administration du Collège doctoral </w:t>
      </w:r>
      <w:r w:rsidRPr="00680B81">
        <w:t xml:space="preserve">dans les </w:t>
      </w:r>
      <w:r w:rsidR="00760154" w:rsidRPr="00680B81">
        <w:t>délais</w:t>
      </w:r>
      <w:r w:rsidRPr="00680B81">
        <w:t xml:space="preserve"> impartis ;</w:t>
      </w:r>
    </w:p>
    <w:p w14:paraId="555BDC65" w14:textId="77777777" w:rsidR="00445569" w:rsidRPr="00680B81" w:rsidRDefault="00760154" w:rsidP="0028077A">
      <w:pPr>
        <w:pStyle w:val="ListParagraph"/>
        <w:numPr>
          <w:ilvl w:val="0"/>
          <w:numId w:val="12"/>
        </w:numPr>
        <w:jc w:val="both"/>
      </w:pPr>
      <w:r w:rsidRPr="00680B81">
        <w:t>le (</w:t>
      </w:r>
      <w:r w:rsidR="00445569" w:rsidRPr="00680B81">
        <w:t xml:space="preserve">la) candidat(e) ne peut </w:t>
      </w:r>
      <w:r w:rsidRPr="00680B81">
        <w:t>présenter</w:t>
      </w:r>
      <w:r w:rsidR="00445569" w:rsidRPr="00680B81">
        <w:t xml:space="preserve"> qu’un seul dossier de candidature ;</w:t>
      </w:r>
    </w:p>
    <w:p w14:paraId="4022E90E" w14:textId="77777777" w:rsidR="00445569" w:rsidRPr="00680B81" w:rsidRDefault="00445569" w:rsidP="0028077A">
      <w:pPr>
        <w:pStyle w:val="ListParagraph"/>
        <w:numPr>
          <w:ilvl w:val="0"/>
          <w:numId w:val="12"/>
        </w:numPr>
        <w:jc w:val="both"/>
      </w:pPr>
      <w:r w:rsidRPr="00680B81">
        <w:t xml:space="preserve">les </w:t>
      </w:r>
      <w:r w:rsidR="00760154" w:rsidRPr="00680B81">
        <w:t>pièces</w:t>
      </w:r>
      <w:r w:rsidR="001009EC" w:rsidRPr="00680B81">
        <w:t xml:space="preserve"> </w:t>
      </w:r>
      <w:r w:rsidR="00760154" w:rsidRPr="00680B81">
        <w:t>demandées</w:t>
      </w:r>
      <w:r w:rsidRPr="00680B81">
        <w:t xml:space="preserve"> doivent toutes </w:t>
      </w:r>
      <w:r w:rsidR="00760154" w:rsidRPr="00680B81">
        <w:t>être</w:t>
      </w:r>
      <w:r w:rsidR="001009EC" w:rsidRPr="00680B81">
        <w:t xml:space="preserve"> </w:t>
      </w:r>
      <w:r w:rsidR="00760154" w:rsidRPr="00680B81">
        <w:t>rédigées</w:t>
      </w:r>
      <w:r w:rsidRPr="00680B81">
        <w:t xml:space="preserve"> ou traduites en </w:t>
      </w:r>
      <w:r w:rsidR="00760154" w:rsidRPr="00680B81">
        <w:t>français</w:t>
      </w:r>
      <w:r w:rsidRPr="00680B81">
        <w:t xml:space="preserve">, et </w:t>
      </w:r>
      <w:r w:rsidR="00760154" w:rsidRPr="00680B81">
        <w:t>transformées</w:t>
      </w:r>
      <w:r w:rsidRPr="00680B81">
        <w:t xml:space="preserve"> au format .PDF ;</w:t>
      </w:r>
    </w:p>
    <w:p w14:paraId="16539A2D" w14:textId="77777777" w:rsidR="00445569" w:rsidRPr="00680B81" w:rsidRDefault="00760154" w:rsidP="0028077A">
      <w:pPr>
        <w:pStyle w:val="ListParagraph"/>
        <w:numPr>
          <w:ilvl w:val="0"/>
          <w:numId w:val="12"/>
        </w:numPr>
        <w:jc w:val="both"/>
      </w:pPr>
      <w:r w:rsidRPr="00680B81">
        <w:t>les documents soumis doive</w:t>
      </w:r>
      <w:r w:rsidR="001009EC" w:rsidRPr="00680B81">
        <w:t>nt être conformes à ceux demandé</w:t>
      </w:r>
      <w:r w:rsidRPr="00680B81">
        <w:t>s, de par leur format et leur contenu, afin d’éviter le rejet du dossier ;</w:t>
      </w:r>
    </w:p>
    <w:p w14:paraId="204E6CE4" w14:textId="77777777" w:rsidR="00760154" w:rsidRPr="00680B81" w:rsidRDefault="00760154" w:rsidP="0028077A">
      <w:pPr>
        <w:pStyle w:val="ListParagraph"/>
        <w:numPr>
          <w:ilvl w:val="0"/>
          <w:numId w:val="12"/>
        </w:numPr>
        <w:jc w:val="both"/>
      </w:pPr>
      <w:r w:rsidRPr="00680B81">
        <w:t>l’absence de l’une des pièces demandées entrainera automatiquement le rejet du dossier ;</w:t>
      </w:r>
    </w:p>
    <w:p w14:paraId="7BB437AC" w14:textId="77777777" w:rsidR="00760154" w:rsidRPr="00680B81" w:rsidRDefault="00760154" w:rsidP="0028077A">
      <w:pPr>
        <w:pStyle w:val="ListParagraph"/>
        <w:numPr>
          <w:ilvl w:val="0"/>
          <w:numId w:val="12"/>
        </w:numPr>
        <w:jc w:val="both"/>
      </w:pPr>
      <w:r w:rsidRPr="00680B81">
        <w:t>les documents soumis doivent tous dater de moins de 3 mois à la date de clôture de l’appel à candidature.</w:t>
      </w:r>
    </w:p>
    <w:p w14:paraId="6FACEF67" w14:textId="77777777" w:rsidR="005C086D" w:rsidRPr="00680B81" w:rsidRDefault="005C086D" w:rsidP="0028077A">
      <w:pPr>
        <w:jc w:val="both"/>
        <w:rPr>
          <w:b/>
          <w:u w:val="single"/>
        </w:rPr>
      </w:pPr>
      <w:r w:rsidRPr="00680B81">
        <w:rPr>
          <w:b/>
          <w:u w:val="single"/>
        </w:rPr>
        <w:lastRenderedPageBreak/>
        <w:t>LISTE DES DOCUMENTS A JOINDRE AU FORMULAIRE :</w:t>
      </w:r>
    </w:p>
    <w:p w14:paraId="58693E59" w14:textId="77777777" w:rsidR="005C086D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Extrait d’état civil ;</w:t>
      </w:r>
    </w:p>
    <w:p w14:paraId="5889C6F4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Copie du Baccalauréat libanais ;</w:t>
      </w:r>
    </w:p>
    <w:p w14:paraId="38A26AB0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CV + copie des diplômes universitaires obtenus + relevé des notes ;</w:t>
      </w:r>
    </w:p>
    <w:p w14:paraId="49E3B8EE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Lettre de motivation du candidat + deux lettres de recommandations ;</w:t>
      </w:r>
    </w:p>
    <w:p w14:paraId="403A57E1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Documents scientifiques (publications, etc.) ;</w:t>
      </w:r>
    </w:p>
    <w:p w14:paraId="194A2F47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Admission(s) au programme de doctorat</w:t>
      </w:r>
    </w:p>
    <w:p w14:paraId="4E0476C8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Projet de thèse (5 500 à 6 000 mots hors références bibliographiques, comprenant : le descriptif détaillé du sujet, le protocole de reche</w:t>
      </w:r>
      <w:bookmarkStart w:id="0" w:name="_GoBack"/>
      <w:bookmarkEnd w:id="0"/>
      <w:r w:rsidRPr="00680B81">
        <w:t>rche et le calendrier d’alternance spécifiant les périodes de mobilités depuis l’inscription en thèse et jusqu’à la date prévisionnelle de la soutenance) ;</w:t>
      </w:r>
    </w:p>
    <w:p w14:paraId="1C4DB525" w14:textId="6A4C1168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 xml:space="preserve">Attestation de statut en </w:t>
      </w:r>
      <w:r w:rsidR="00680B81">
        <w:t>2019-2020</w:t>
      </w:r>
      <w:r w:rsidRPr="00680B81">
        <w:t> ;</w:t>
      </w:r>
    </w:p>
    <w:p w14:paraId="6C2B01CA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>Déclaration sur l’honneur (indiquant toute prise en charge autre que celle demandée dans le cadre de cet appel) ;</w:t>
      </w:r>
    </w:p>
    <w:p w14:paraId="48F088CF" w14:textId="77777777" w:rsidR="001009EC" w:rsidRPr="00680B81" w:rsidRDefault="001009EC" w:rsidP="0028077A">
      <w:pPr>
        <w:pStyle w:val="ListParagraph"/>
        <w:numPr>
          <w:ilvl w:val="0"/>
          <w:numId w:val="13"/>
        </w:numPr>
        <w:jc w:val="both"/>
      </w:pPr>
      <w:r w:rsidRPr="00680B81">
        <w:t xml:space="preserve">Attestation d’accord du responsable scientifique direct </w:t>
      </w:r>
      <w:r w:rsidR="000814F7" w:rsidRPr="00680B81">
        <w:t>dans l’établissement d’origine ;</w:t>
      </w:r>
    </w:p>
    <w:p w14:paraId="4EBD52BA" w14:textId="77777777" w:rsidR="000814F7" w:rsidRPr="00680B81" w:rsidRDefault="000814F7" w:rsidP="0028077A">
      <w:pPr>
        <w:pStyle w:val="ListParagraph"/>
        <w:numPr>
          <w:ilvl w:val="0"/>
          <w:numId w:val="13"/>
        </w:numPr>
        <w:jc w:val="both"/>
      </w:pPr>
      <w:r w:rsidRPr="00680B81">
        <w:t>Attestation d’accord du directeur de thèse dans l’établissement d’origine (si différen</w:t>
      </w:r>
      <w:r w:rsidR="00F34993" w:rsidRPr="00680B81">
        <w:t>t</w:t>
      </w:r>
      <w:r w:rsidRPr="00680B81">
        <w:t xml:space="preserve"> du responsable scientifique direct) ;</w:t>
      </w:r>
    </w:p>
    <w:p w14:paraId="501B8821" w14:textId="77777777" w:rsidR="000814F7" w:rsidRPr="00680B81" w:rsidRDefault="000814F7" w:rsidP="0028077A">
      <w:pPr>
        <w:pStyle w:val="ListParagraph"/>
        <w:numPr>
          <w:ilvl w:val="0"/>
          <w:numId w:val="13"/>
        </w:numPr>
        <w:jc w:val="both"/>
      </w:pPr>
      <w:r w:rsidRPr="00680B81">
        <w:t>Attestation d’accord du directeur de thèse dans l’établissement d’accueil ;</w:t>
      </w:r>
    </w:p>
    <w:p w14:paraId="4B423CAB" w14:textId="77777777" w:rsidR="000814F7" w:rsidRPr="00680B81" w:rsidRDefault="000814F7" w:rsidP="0028077A">
      <w:pPr>
        <w:pStyle w:val="ListParagraph"/>
        <w:numPr>
          <w:ilvl w:val="0"/>
          <w:numId w:val="13"/>
        </w:numPr>
        <w:jc w:val="both"/>
      </w:pPr>
      <w:r w:rsidRPr="00680B81">
        <w:t>Attestation d’accueil du responsable du laboratoire ou centre de recherche de l’établissement d’accueil.</w:t>
      </w:r>
    </w:p>
    <w:sectPr w:rsidR="000814F7" w:rsidRPr="00680B81" w:rsidSect="00102F47">
      <w:pgSz w:w="12240" w:h="15840"/>
      <w:pgMar w:top="1440" w:right="1325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8E9C4" w14:textId="77777777" w:rsidR="00E96FEF" w:rsidRDefault="00E96FEF" w:rsidP="000344B7">
      <w:pPr>
        <w:spacing w:after="0" w:line="240" w:lineRule="auto"/>
      </w:pPr>
      <w:r>
        <w:separator/>
      </w:r>
    </w:p>
  </w:endnote>
  <w:endnote w:type="continuationSeparator" w:id="0">
    <w:p w14:paraId="17EB04BA" w14:textId="77777777" w:rsidR="00E96FEF" w:rsidRDefault="00E96FEF" w:rsidP="0003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C4ECD" w14:textId="77777777" w:rsidR="00E96FEF" w:rsidRDefault="00E96FEF" w:rsidP="000344B7">
      <w:pPr>
        <w:spacing w:after="0" w:line="240" w:lineRule="auto"/>
      </w:pPr>
      <w:r>
        <w:separator/>
      </w:r>
    </w:p>
  </w:footnote>
  <w:footnote w:type="continuationSeparator" w:id="0">
    <w:p w14:paraId="62CFDCDF" w14:textId="77777777" w:rsidR="00E96FEF" w:rsidRDefault="00E96FEF" w:rsidP="00034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E4B"/>
    <w:multiLevelType w:val="hybridMultilevel"/>
    <w:tmpl w:val="3F3A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B1F32"/>
    <w:multiLevelType w:val="hybridMultilevel"/>
    <w:tmpl w:val="006EB8FA"/>
    <w:lvl w:ilvl="0" w:tplc="D61233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77D3"/>
    <w:multiLevelType w:val="hybridMultilevel"/>
    <w:tmpl w:val="0F022552"/>
    <w:lvl w:ilvl="0" w:tplc="3022E1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D3037"/>
    <w:multiLevelType w:val="hybridMultilevel"/>
    <w:tmpl w:val="6D3E4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97E46"/>
    <w:multiLevelType w:val="hybridMultilevel"/>
    <w:tmpl w:val="4C52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F6902"/>
    <w:multiLevelType w:val="hybridMultilevel"/>
    <w:tmpl w:val="64FE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63A45"/>
    <w:multiLevelType w:val="hybridMultilevel"/>
    <w:tmpl w:val="55980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36AC0"/>
    <w:multiLevelType w:val="hybridMultilevel"/>
    <w:tmpl w:val="51767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7C4825"/>
    <w:multiLevelType w:val="hybridMultilevel"/>
    <w:tmpl w:val="006EB8FA"/>
    <w:lvl w:ilvl="0" w:tplc="D61233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A1AF7"/>
    <w:multiLevelType w:val="hybridMultilevel"/>
    <w:tmpl w:val="768C32A4"/>
    <w:lvl w:ilvl="0" w:tplc="3022E1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B53A8"/>
    <w:multiLevelType w:val="hybridMultilevel"/>
    <w:tmpl w:val="4F028528"/>
    <w:lvl w:ilvl="0" w:tplc="7C400F3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8291672"/>
    <w:multiLevelType w:val="hybridMultilevel"/>
    <w:tmpl w:val="866C7D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3269E6"/>
    <w:multiLevelType w:val="hybridMultilevel"/>
    <w:tmpl w:val="FE84CEC2"/>
    <w:lvl w:ilvl="0" w:tplc="9698DB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9F"/>
    <w:rsid w:val="000344B7"/>
    <w:rsid w:val="00040791"/>
    <w:rsid w:val="000814F7"/>
    <w:rsid w:val="000D5D3C"/>
    <w:rsid w:val="000E69CA"/>
    <w:rsid w:val="001009EC"/>
    <w:rsid w:val="00102F47"/>
    <w:rsid w:val="00114438"/>
    <w:rsid w:val="00140B69"/>
    <w:rsid w:val="00187F9F"/>
    <w:rsid w:val="001E43AE"/>
    <w:rsid w:val="002771D0"/>
    <w:rsid w:val="0028077A"/>
    <w:rsid w:val="00286DE4"/>
    <w:rsid w:val="00287B44"/>
    <w:rsid w:val="002A2CF6"/>
    <w:rsid w:val="002D1341"/>
    <w:rsid w:val="00313F09"/>
    <w:rsid w:val="0034483D"/>
    <w:rsid w:val="00360DCE"/>
    <w:rsid w:val="00392181"/>
    <w:rsid w:val="00414B69"/>
    <w:rsid w:val="0042310F"/>
    <w:rsid w:val="00445569"/>
    <w:rsid w:val="004E506F"/>
    <w:rsid w:val="005359E6"/>
    <w:rsid w:val="0054380E"/>
    <w:rsid w:val="00560BDD"/>
    <w:rsid w:val="00584F38"/>
    <w:rsid w:val="00587620"/>
    <w:rsid w:val="005A050C"/>
    <w:rsid w:val="005A66EB"/>
    <w:rsid w:val="005C086D"/>
    <w:rsid w:val="005D5CE0"/>
    <w:rsid w:val="005E7C4C"/>
    <w:rsid w:val="00640D31"/>
    <w:rsid w:val="00680B81"/>
    <w:rsid w:val="006D483D"/>
    <w:rsid w:val="006E28CC"/>
    <w:rsid w:val="006E45ED"/>
    <w:rsid w:val="00760154"/>
    <w:rsid w:val="007E70D7"/>
    <w:rsid w:val="008E5D78"/>
    <w:rsid w:val="009008E5"/>
    <w:rsid w:val="00931B8D"/>
    <w:rsid w:val="00946FBF"/>
    <w:rsid w:val="0097518D"/>
    <w:rsid w:val="009F7AC5"/>
    <w:rsid w:val="00A4020E"/>
    <w:rsid w:val="00A56AAB"/>
    <w:rsid w:val="00A700DA"/>
    <w:rsid w:val="00A72C68"/>
    <w:rsid w:val="00A85AF0"/>
    <w:rsid w:val="00A9311E"/>
    <w:rsid w:val="00C043BB"/>
    <w:rsid w:val="00C77094"/>
    <w:rsid w:val="00CC14E0"/>
    <w:rsid w:val="00CD62E9"/>
    <w:rsid w:val="00CF0589"/>
    <w:rsid w:val="00D85FB7"/>
    <w:rsid w:val="00DE41F1"/>
    <w:rsid w:val="00E046A1"/>
    <w:rsid w:val="00E96FEF"/>
    <w:rsid w:val="00EA6191"/>
    <w:rsid w:val="00EE7B0B"/>
    <w:rsid w:val="00F23594"/>
    <w:rsid w:val="00F34993"/>
    <w:rsid w:val="00F452B3"/>
    <w:rsid w:val="00FA3153"/>
    <w:rsid w:val="00FA4ABC"/>
    <w:rsid w:val="00FD3224"/>
    <w:rsid w:val="00FD4930"/>
    <w:rsid w:val="033913BA"/>
    <w:rsid w:val="21C70B5B"/>
    <w:rsid w:val="52AF6C11"/>
    <w:rsid w:val="764F3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2BA4D4"/>
  <w15:docId w15:val="{72CD1D5D-1094-4B0E-9469-FCB9C2A1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80E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F9F"/>
    <w:pPr>
      <w:ind w:left="720"/>
      <w:contextualSpacing/>
    </w:pPr>
  </w:style>
  <w:style w:type="table" w:styleId="TableGrid">
    <w:name w:val="Table Grid"/>
    <w:basedOn w:val="TableNormal"/>
    <w:uiPriority w:val="39"/>
    <w:rsid w:val="0018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0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791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791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791"/>
    <w:rPr>
      <w:rFonts w:ascii="Segoe UI" w:hAnsi="Segoe UI" w:cs="Segoe UI"/>
      <w:sz w:val="18"/>
      <w:szCs w:val="18"/>
      <w:lang w:val="fr-FR"/>
    </w:rPr>
  </w:style>
  <w:style w:type="character" w:styleId="Hyperlink">
    <w:name w:val="Hyperlink"/>
    <w:basedOn w:val="DefaultParagraphFont"/>
    <w:uiPriority w:val="99"/>
    <w:unhideWhenUsed/>
    <w:rsid w:val="009F7A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B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03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B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5DA52E71-5B42-42AB-9CAD-3FB3F23F0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B80C5-0733-4D35-9688-F8583CC82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032AD-8CA7-4C9D-835C-1214BC987E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1751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auf</cp:lastModifiedBy>
  <cp:revision>11</cp:revision>
  <cp:lastPrinted>2019-02-19T13:33:00Z</cp:lastPrinted>
  <dcterms:created xsi:type="dcterms:W3CDTF">2018-02-27T07:51:00Z</dcterms:created>
  <dcterms:modified xsi:type="dcterms:W3CDTF">2020-04-27T08:01:00Z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