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0.jpeg" ContentType="image/jpeg"/>
  <Override PartName="/word/media/image19.jpeg" ContentType="image/jpeg"/>
  <Override PartName="/word/media/image18.jpeg" ContentType="image/jpeg"/>
  <Override PartName="/word/media/image17.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uppressAutoHyphens w:val="true"/>
        <w:bidi w:val="0"/>
        <w:ind w:left="0" w:right="-4876" w:hanging="0"/>
        <w:jc w:val="left"/>
        <w:rPr>
          <w:sz w:val="12"/>
          <w:szCs w:val="12"/>
        </w:rPr>
      </w:pPr>
      <w:r>
        <w:rPr>
          <w:sz w:val="12"/>
          <w:szCs w:val="12"/>
        </w:rPr>
      </w:r>
    </w:p>
    <w:tbl>
      <w:tblPr>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4677"/>
        <w:gridCol w:w="4677"/>
      </w:tblGrid>
      <w:tr>
        <w:trPr>
          <w:cantSplit w:val="false"/>
        </w:trPr>
        <w:tc>
          <w:tcPr>
            <w:tcW w:w="4677" w:type="dxa"/>
            <w:tcBorders>
              <w:top w:val="nil"/>
              <w:left w:val="nil"/>
              <w:bottom w:val="nil"/>
              <w:insideH w:val="nil"/>
              <w:right w:val="nil"/>
              <w:insideV w:val="nil"/>
            </w:tcBorders>
            <w:shd w:fill="FFFFFF" w:val="clear"/>
          </w:tcPr>
          <w:p>
            <w:pPr>
              <w:pStyle w:val="Nidungbng"/>
              <w:rPr/>
            </w:pPr>
            <w:r>
              <w:rPr/>
              <w:drawing>
                <wp:anchor behindDoc="0" distT="0" distB="0" distL="0" distR="0" simplePos="0" locked="0" layoutInCell="1" allowOverlap="1" relativeHeight="0">
                  <wp:simplePos x="0" y="0"/>
                  <wp:positionH relativeFrom="column">
                    <wp:posOffset>320040</wp:posOffset>
                  </wp:positionH>
                  <wp:positionV relativeFrom="paragraph">
                    <wp:posOffset>55245</wp:posOffset>
                  </wp:positionV>
                  <wp:extent cx="786130" cy="53022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786130" cy="530225"/>
                          </a:xfrm>
                          <a:prstGeom prst="rect">
                            <a:avLst/>
                          </a:prstGeom>
                          <a:noFill/>
                          <a:ln w="9525">
                            <a:noFill/>
                            <a:miter lim="800000"/>
                            <a:headEnd/>
                            <a:tailEnd/>
                          </a:ln>
                        </pic:spPr>
                      </pic:pic>
                    </a:graphicData>
                  </a:graphic>
                </wp:anchor>
              </w:drawing>
            </w:r>
          </w:p>
          <w:p>
            <w:pPr>
              <w:pStyle w:val="Nidungbng"/>
              <w:rPr/>
            </w:pPr>
            <w:r>
              <w:rPr/>
            </w:r>
          </w:p>
          <w:p>
            <w:pPr>
              <w:pStyle w:val="Nidungbng"/>
              <w:rPr/>
            </w:pPr>
            <w:r>
              <w:rPr/>
            </w:r>
          </w:p>
        </w:tc>
        <w:tc>
          <w:tcPr>
            <w:tcW w:w="4677" w:type="dxa"/>
            <w:tcBorders>
              <w:top w:val="nil"/>
              <w:left w:val="nil"/>
              <w:bottom w:val="nil"/>
              <w:insideH w:val="nil"/>
              <w:right w:val="nil"/>
              <w:insideV w:val="nil"/>
            </w:tcBorders>
            <w:shd w:fill="FFFFFF" w:val="clear"/>
          </w:tcPr>
          <w:p>
            <w:pPr>
              <w:pStyle w:val="Nidungbng"/>
              <w:rPr/>
            </w:pPr>
            <w:r>
              <w:rPr/>
              <w:drawing>
                <wp:inline distT="0" distB="0" distL="0" distR="0">
                  <wp:extent cx="2581275" cy="571500"/>
                  <wp:effectExtent l="0" t="0" r="0" b="0"/>
                  <wp:docPr id="1" name="Picture" descr="Y:\aix-sc-pup\Communs\LOGOS\AMUPup3lig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Y:\aix-sc-pup\Communs\LOGOS\AMUPup3lignes.jpg"/>
                          <pic:cNvPicPr>
                            <a:picLocks noChangeAspect="1" noChangeArrowheads="1"/>
                          </pic:cNvPicPr>
                        </pic:nvPicPr>
                        <pic:blipFill>
                          <a:blip r:embed="rId3"/>
                          <a:stretch>
                            <a:fillRect/>
                          </a:stretch>
                        </pic:blipFill>
                        <pic:spPr bwMode="auto">
                          <a:xfrm>
                            <a:off x="0" y="0"/>
                            <a:ext cx="2581275" cy="571500"/>
                          </a:xfrm>
                          <a:prstGeom prst="rect">
                            <a:avLst/>
                          </a:prstGeom>
                          <a:noFill/>
                          <a:ln w="9525">
                            <a:noFill/>
                            <a:miter lim="800000"/>
                            <a:headEnd/>
                            <a:tailEnd/>
                          </a:ln>
                        </pic:spPr>
                      </pic:pic>
                    </a:graphicData>
                  </a:graphic>
                </wp:inline>
              </w:drawing>
            </w:r>
          </w:p>
        </w:tc>
      </w:tr>
    </w:tbl>
    <w:p>
      <w:pPr>
        <w:pStyle w:val="Normal"/>
        <w:widowControl w:val="false"/>
        <w:suppressAutoHyphens w:val="true"/>
        <w:bidi w:val="0"/>
        <w:ind w:left="0" w:right="-4876" w:hanging="0"/>
        <w:jc w:val="left"/>
        <w:rPr/>
      </w:pPr>
      <w:r>
        <w:rPr/>
      </w:r>
    </w:p>
    <w:p>
      <w:pPr>
        <w:pStyle w:val="Normal"/>
        <w:widowControl w:val="false"/>
        <w:suppressAutoHyphens w:val="true"/>
        <w:bidi w:val="0"/>
        <w:ind w:left="0" w:right="-4876" w:hanging="0"/>
        <w:jc w:val="left"/>
        <w:rPr>
          <w:b/>
          <w:bCs/>
          <w:color w:val="C00000"/>
          <w:sz w:val="36"/>
          <w:szCs w:val="36"/>
          <w:lang w:val="fr-FR"/>
        </w:rPr>
      </w:pPr>
      <w:r>
        <w:rPr>
          <w:b/>
          <w:bCs/>
          <w:color w:val="C00000"/>
          <w:sz w:val="36"/>
          <w:szCs w:val="36"/>
          <w:lang w:val="fr-FR"/>
        </w:rPr>
        <w:t xml:space="preserve">                                   </w:t>
      </w:r>
      <w:r>
        <w:rPr>
          <w:b/>
          <w:bCs/>
          <w:color w:val="C00000"/>
          <w:sz w:val="36"/>
          <w:szCs w:val="36"/>
          <w:lang w:val="fr-FR"/>
        </w:rPr>
        <w:t>PRÉSENTATION</w:t>
      </w:r>
    </w:p>
    <w:p>
      <w:pPr>
        <w:pStyle w:val="Normal"/>
        <w:widowControl w:val="false"/>
        <w:suppressAutoHyphens w:val="true"/>
        <w:bidi w:val="0"/>
        <w:ind w:left="0" w:right="-4876" w:hanging="0"/>
        <w:jc w:val="left"/>
        <w:rPr>
          <w:b/>
          <w:bCs/>
          <w:color w:val="C00000"/>
          <w:sz w:val="20"/>
          <w:szCs w:val="20"/>
          <w:lang w:val="fr-FR"/>
        </w:rPr>
      </w:pPr>
      <w:r>
        <w:rPr>
          <w:b/>
          <w:bCs/>
          <w:color w:val="C00000"/>
          <w:sz w:val="36"/>
          <w:szCs w:val="36"/>
          <w:lang w:val="fr-FR"/>
        </w:rPr>
        <w:t xml:space="preserve">       </w:t>
      </w:r>
      <w:r>
        <w:rPr>
          <w:b/>
          <w:bCs/>
          <w:color w:val="C00000"/>
          <w:sz w:val="36"/>
          <w:szCs w:val="36"/>
          <w:lang w:val="fr-FR"/>
        </w:rPr>
        <w:t>LA FRANCOPHONIE EN ASIE-PACIFIQUE (FAP)</w:t>
      </w:r>
      <w:r>
        <w:rPr>
          <w:b/>
          <w:bCs/>
          <w:color w:val="C00000"/>
          <w:sz w:val="20"/>
          <w:szCs w:val="20"/>
          <w:lang w:val="fr-FR"/>
        </w:rPr>
        <w:t xml:space="preserve"> </w:t>
      </w:r>
    </w:p>
    <w:p>
      <w:pPr>
        <w:pStyle w:val="Normal"/>
        <w:widowControl w:val="false"/>
        <w:suppressAutoHyphens w:val="true"/>
        <w:bidi w:val="0"/>
        <w:ind w:left="0" w:right="-4876" w:hanging="0"/>
        <w:jc w:val="left"/>
        <w:rPr>
          <w:sz w:val="16"/>
          <w:szCs w:val="16"/>
        </w:rPr>
      </w:pPr>
      <w:r>
        <w:rPr>
          <w:sz w:val="16"/>
          <w:szCs w:val="16"/>
        </w:rPr>
      </w:r>
    </w:p>
    <w:tbl>
      <w:tblPr>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2997"/>
        <w:gridCol w:w="7381"/>
      </w:tblGrid>
      <w:tr>
        <w:trPr>
          <w:cantSplit w:val="false"/>
        </w:trPr>
        <w:tc>
          <w:tcPr>
            <w:tcW w:w="2997" w:type="dxa"/>
            <w:tcBorders>
              <w:top w:val="nil"/>
              <w:left w:val="nil"/>
              <w:bottom w:val="nil"/>
              <w:insideH w:val="nil"/>
              <w:right w:val="nil"/>
              <w:insideV w:val="nil"/>
            </w:tcBorders>
            <w:shd w:fill="FFFFFF" w:val="clear"/>
          </w:tcPr>
          <w:p>
            <w:pPr>
              <w:pStyle w:val="Normal"/>
              <w:rPr>
                <w:b/>
                <w:bCs/>
                <w:color w:val="003300"/>
                <w:lang w:val="fr-FR"/>
              </w:rPr>
            </w:pPr>
            <w:r>
              <w:rPr>
                <w:b/>
                <w:bCs/>
                <w:color w:val="003300"/>
                <w:lang w:val="fr-FR"/>
              </w:rPr>
              <w:t xml:space="preserve">PRÉSENTATION    </w:t>
            </w:r>
          </w:p>
        </w:tc>
        <w:tc>
          <w:tcPr>
            <w:tcW w:w="7381" w:type="dxa"/>
            <w:tcBorders>
              <w:top w:val="nil"/>
              <w:left w:val="nil"/>
              <w:bottom w:val="nil"/>
              <w:insideH w:val="nil"/>
              <w:right w:val="nil"/>
              <w:insideV w:val="nil"/>
            </w:tcBorders>
            <w:shd w:fill="FFFFFF" w:val="clear"/>
          </w:tcPr>
          <w:p>
            <w:pPr>
              <w:pStyle w:val="Normal"/>
              <w:jc w:val="both"/>
              <w:rPr>
                <w:shd w:fill="FFFFFF" w:val="clear"/>
                <w:lang w:val="fr-FR"/>
              </w:rPr>
            </w:pPr>
            <w:r>
              <w:rPr>
                <w:b/>
                <w:lang w:val="fr-FR"/>
              </w:rPr>
              <w:t xml:space="preserve">La Francophonie en Asie-Pacifique (FAP) </w:t>
            </w:r>
            <w:r>
              <w:rPr>
                <w:lang w:val="fr-FR"/>
              </w:rPr>
              <w:t xml:space="preserve">est une revue de recherche interdisciplinaire publiée par </w:t>
            </w:r>
            <w:r>
              <w:rPr>
                <w:b/>
                <w:lang w:val="fr-FR"/>
              </w:rPr>
              <w:t>l'</w:t>
            </w:r>
            <w:r>
              <w:rPr>
                <w:b/>
                <w:bCs/>
                <w:lang w:val="fr-FR"/>
              </w:rPr>
              <w:t xml:space="preserve">Institut Francophone International – Université Nationale du Vietnam, Hanoi, </w:t>
            </w:r>
            <w:r>
              <w:rPr>
                <w:lang w:val="fr-FR"/>
              </w:rPr>
              <w:t xml:space="preserve">en partenariat avec les Presses Universitaires de Provence (PUP), </w:t>
            </w:r>
            <w:r>
              <w:rPr>
                <w:shd w:fill="FFFFFF" w:val="clear"/>
                <w:lang w:val="fr-FR"/>
              </w:rPr>
              <w:t>service d’Aix-Marseille Université.</w:t>
            </w:r>
          </w:p>
          <w:p>
            <w:pPr>
              <w:pStyle w:val="Normal"/>
              <w:jc w:val="both"/>
              <w:rPr>
                <w:lang w:val="fr-FR"/>
              </w:rPr>
            </w:pPr>
            <w:r>
              <w:rPr>
                <w:rFonts w:eastAsia="Times New Roman"/>
                <w:b/>
                <w:lang w:val="fr-FR"/>
              </w:rPr>
              <w:t xml:space="preserve">La Francophonie en Asie-Pacifique </w:t>
            </w:r>
            <w:r>
              <w:rPr>
                <w:rFonts w:eastAsia="Times New Roman"/>
                <w:lang w:val="fr-FR"/>
              </w:rPr>
              <w:t>est une revue</w:t>
            </w:r>
            <w:r>
              <w:rPr>
                <w:b/>
                <w:lang w:val="fr-FR"/>
              </w:rPr>
              <w:t xml:space="preserve">  </w:t>
            </w:r>
            <w:r>
              <w:rPr>
                <w:lang w:val="fr-FR"/>
              </w:rPr>
              <w:t>qui a pour objet la diffusion d’études scientifiques d'ordre académique ou professionnel, sur la Francophonie en Asie-Pacifique</w:t>
            </w:r>
            <w:r>
              <w:rPr>
                <w:rFonts w:eastAsia="Times New Roman"/>
                <w:lang w:val="pt-BR" w:eastAsia="en-US"/>
              </w:rPr>
              <w:t>.</w:t>
            </w:r>
            <w:r>
              <w:rPr>
                <w:lang w:val="fr-FR"/>
              </w:rPr>
              <w:t xml:space="preserve"> Etudes conduites par des chercheurs vietnamiens et non vietnamiens.</w:t>
            </w:r>
          </w:p>
          <w:p>
            <w:pPr>
              <w:pStyle w:val="Normal"/>
              <w:jc w:val="both"/>
              <w:rPr>
                <w:rFonts w:eastAsia="Times New Roman"/>
                <w:lang w:val="pt-BR" w:eastAsia="en-US"/>
              </w:rPr>
            </w:pPr>
            <w:r>
              <w:rPr>
                <w:rFonts w:eastAsia="Times New Roman"/>
                <w:b/>
                <w:lang w:val="pt-BR" w:eastAsia="en-US"/>
              </w:rPr>
              <w:t xml:space="preserve">La Francophonie en Asie-Pacifique </w:t>
            </w:r>
            <w:r>
              <w:rPr>
                <w:rFonts w:eastAsia="Times New Roman"/>
                <w:lang w:val="pt-BR" w:eastAsia="en-US"/>
              </w:rPr>
              <w:t xml:space="preserve">est une publication semestrielle, (mars et septembre). Tous les articles sont publiés en version papier et en version électronique. </w:t>
            </w:r>
          </w:p>
        </w:tc>
      </w:tr>
      <w:tr>
        <w:trPr>
          <w:cantSplit w:val="false"/>
        </w:trPr>
        <w:tc>
          <w:tcPr>
            <w:tcW w:w="2997" w:type="dxa"/>
            <w:tcBorders>
              <w:top w:val="nil"/>
              <w:left w:val="nil"/>
              <w:bottom w:val="nil"/>
              <w:insideH w:val="nil"/>
              <w:right w:val="nil"/>
              <w:insideV w:val="nil"/>
            </w:tcBorders>
            <w:shd w:fill="FFFFFF" w:val="clear"/>
          </w:tcPr>
          <w:p>
            <w:pPr>
              <w:pStyle w:val="Normal"/>
              <w:rPr>
                <w:rFonts w:ascii="Liberation Serif" w:hAnsi="Liberation Serif"/>
                <w:b/>
                <w:bCs/>
                <w:color w:val="003300"/>
                <w:lang w:val="pt-BR"/>
              </w:rPr>
            </w:pPr>
            <w:r>
              <w:rPr>
                <w:rFonts w:ascii="Liberation Serif" w:hAnsi="Liberation Serif"/>
                <w:b/>
                <w:bCs/>
                <w:color w:val="003300"/>
                <w:lang w:val="pt-BR"/>
              </w:rPr>
              <w:t>COPYRIGHT</w:t>
            </w:r>
          </w:p>
        </w:tc>
        <w:tc>
          <w:tcPr>
            <w:tcW w:w="7381" w:type="dxa"/>
            <w:tcBorders>
              <w:top w:val="nil"/>
              <w:left w:val="nil"/>
              <w:bottom w:val="nil"/>
              <w:insideH w:val="nil"/>
              <w:right w:val="nil"/>
              <w:insideV w:val="nil"/>
            </w:tcBorders>
            <w:shd w:fill="FFFFFF" w:val="clear"/>
          </w:tcPr>
          <w:p>
            <w:pPr>
              <w:pStyle w:val="Normal"/>
              <w:jc w:val="both"/>
              <w:rPr>
                <w:rFonts w:eastAsia="Times New Roman"/>
                <w:lang w:val="pt-BR" w:eastAsia="en-US"/>
              </w:rPr>
            </w:pPr>
            <w:r>
              <w:rPr>
                <w:rFonts w:eastAsia="Times New Roman"/>
                <w:lang w:val="pt-BR" w:eastAsia="en-US"/>
              </w:rPr>
              <w:t xml:space="preserve">Copyright © 2016 Institut Francophone International, </w:t>
            </w:r>
            <w:r>
              <w:rPr>
                <w:rFonts w:eastAsia="Times New Roman"/>
                <w:shd w:fill="FFFFFF" w:val="clear"/>
                <w:lang w:val="pt-BR" w:eastAsia="en-US"/>
              </w:rPr>
              <w:t>© année Presses universitaires de Provence</w:t>
            </w:r>
            <w:r>
              <w:rPr>
                <w:rFonts w:eastAsia="Times New Roman"/>
                <w:lang w:val="pt-BR" w:eastAsia="en-US"/>
              </w:rPr>
              <w:t xml:space="preserve">, Tous droits réservés. </w:t>
            </w:r>
          </w:p>
          <w:p>
            <w:pPr>
              <w:pStyle w:val="Normal"/>
              <w:jc w:val="both"/>
              <w:rPr>
                <w:lang w:val="fr-FR"/>
              </w:rPr>
            </w:pPr>
            <w:r>
              <w:rPr>
                <w:lang w:val="fr-FR"/>
              </w:rPr>
              <w:t xml:space="preserve">Toute reproduction, copie, diffusion est strictement interdite sans autorisation écrite de </w:t>
            </w:r>
            <w:r>
              <w:rPr>
                <w:b/>
                <w:lang w:val="fr-FR"/>
              </w:rPr>
              <w:t>La Francophonie en Asie-Pacifique</w:t>
            </w:r>
            <w:r>
              <w:rPr>
                <w:lang w:val="fr-FR"/>
              </w:rPr>
              <w:t>. L'utilisation et les copies d'articles à des fins d'études et de recherche peuvent être faites sans demande d'autorisation</w:t>
            </w:r>
            <w:r>
              <w:rPr>
                <w:rFonts w:eastAsia="Times New Roman"/>
                <w:lang w:val="pt-BR" w:eastAsia="en-US"/>
              </w:rPr>
              <w:t xml:space="preserve">. </w:t>
            </w:r>
            <w:r>
              <w:rPr>
                <w:lang w:val="fr-FR"/>
              </w:rPr>
              <w:t xml:space="preserve">La reproduction des illustrations et des extraits de l'article doit être approuvée par l'auteur et ses sources doivent être mentionnées. Il est interdit de faire un grand nombre de copies de la publication sans l’autorisation de </w:t>
            </w:r>
            <w:r>
              <w:rPr>
                <w:b/>
                <w:lang w:val="fr-FR"/>
              </w:rPr>
              <w:t>l'Institut Francophone International</w:t>
            </w:r>
            <w:r>
              <w:rPr>
                <w:lang w:val="fr-FR"/>
              </w:rPr>
              <w:t xml:space="preserve"> conformément aux lois  en vigueur au Vietnam</w:t>
            </w:r>
            <w:r>
              <w:rPr>
                <w:rFonts w:eastAsia="Times New Roman"/>
                <w:lang w:val="pt-BR" w:eastAsia="en-US"/>
              </w:rPr>
              <w:t xml:space="preserve">. </w:t>
            </w:r>
            <w:r>
              <w:rPr>
                <w:lang w:val="fr-FR"/>
              </w:rPr>
              <w:t xml:space="preserve"> </w:t>
            </w:r>
          </w:p>
        </w:tc>
      </w:tr>
      <w:tr>
        <w:trPr>
          <w:cantSplit w:val="false"/>
        </w:trPr>
        <w:tc>
          <w:tcPr>
            <w:tcW w:w="2997" w:type="dxa"/>
            <w:tcBorders>
              <w:top w:val="nil"/>
              <w:left w:val="nil"/>
              <w:bottom w:val="nil"/>
              <w:insideH w:val="nil"/>
              <w:right w:val="nil"/>
              <w:insideV w:val="nil"/>
            </w:tcBorders>
            <w:shd w:fill="FFFFFF" w:val="clear"/>
          </w:tcPr>
          <w:p>
            <w:pPr>
              <w:pStyle w:val="Normal"/>
              <w:rPr>
                <w:rFonts w:ascii="Liberation Serif" w:hAnsi="Liberation Serif"/>
                <w:b/>
                <w:bCs/>
                <w:color w:val="003300"/>
                <w:lang w:val="pt-BR"/>
              </w:rPr>
            </w:pPr>
            <w:r>
              <w:rPr>
                <w:rFonts w:ascii="Liberation Serif" w:hAnsi="Liberation Serif"/>
                <w:b/>
                <w:bCs/>
                <w:color w:val="003300"/>
                <w:lang w:val="pt-BR"/>
              </w:rPr>
              <w:t xml:space="preserve">RÉDACTION  </w:t>
            </w:r>
          </w:p>
        </w:tc>
        <w:tc>
          <w:tcPr>
            <w:tcW w:w="7381" w:type="dxa"/>
            <w:tcBorders>
              <w:top w:val="nil"/>
              <w:left w:val="nil"/>
              <w:bottom w:val="nil"/>
              <w:insideH w:val="nil"/>
              <w:right w:val="nil"/>
              <w:insideV w:val="nil"/>
            </w:tcBorders>
            <w:shd w:fill="FFFFFF" w:val="clear"/>
          </w:tcPr>
          <w:p>
            <w:pPr>
              <w:pStyle w:val="Normal"/>
              <w:jc w:val="both"/>
              <w:rPr>
                <w:lang w:val="fr-FR"/>
              </w:rPr>
            </w:pPr>
            <w:r>
              <w:rPr>
                <w:lang w:val="fr-FR"/>
              </w:rPr>
              <w:t>Rédacteur en chef              :  Ngô Tự Lập (Vietnam)</w:t>
            </w:r>
          </w:p>
          <w:p>
            <w:pPr>
              <w:pStyle w:val="Normal"/>
              <w:jc w:val="both"/>
              <w:rPr/>
            </w:pPr>
            <w:r>
              <w:rPr>
                <w:lang w:val="fr-FR"/>
              </w:rPr>
              <w:t xml:space="preserve">Rédacteur-en-chef adjoint :  </w:t>
            </w:r>
            <w:r>
              <w:rPr/>
              <w:t>Tôn Thất Thanh Vân (France)</w:t>
            </w:r>
          </w:p>
          <w:p>
            <w:pPr>
              <w:pStyle w:val="Normal"/>
              <w:ind w:left="0" w:right="0" w:firstLine="360"/>
              <w:jc w:val="both"/>
              <w:rPr/>
            </w:pPr>
            <w:r>
              <w:rPr/>
              <w:t xml:space="preserve">                                         </w:t>
            </w:r>
            <w:r>
              <w:rPr/>
              <w:t>Charles Zaremba (France)</w:t>
            </w:r>
          </w:p>
          <w:p>
            <w:pPr>
              <w:pStyle w:val="Normal"/>
              <w:jc w:val="both"/>
              <w:rPr/>
            </w:pPr>
            <w:r>
              <w:rPr/>
              <w:t>Secrétaire de rédaction</w:t>
            </w:r>
            <w:r>
              <w:rPr>
                <w:rFonts w:ascii="Liberation Serif" w:hAnsi="Liberation Serif"/>
              </w:rPr>
              <w:t xml:space="preserve">        :</w:t>
            </w:r>
            <w:r>
              <w:rPr/>
              <w:t xml:space="preserve"> Trần Thị Quyên (Vietnam)</w:t>
            </w:r>
          </w:p>
        </w:tc>
      </w:tr>
      <w:tr>
        <w:trPr>
          <w:cantSplit w:val="false"/>
        </w:trPr>
        <w:tc>
          <w:tcPr>
            <w:tcW w:w="2997" w:type="dxa"/>
            <w:tcBorders>
              <w:top w:val="nil"/>
              <w:left w:val="nil"/>
              <w:bottom w:val="nil"/>
              <w:insideH w:val="nil"/>
              <w:right w:val="nil"/>
              <w:insideV w:val="nil"/>
            </w:tcBorders>
            <w:shd w:fill="FFFFFF" w:val="clear"/>
          </w:tcPr>
          <w:p>
            <w:pPr>
              <w:pStyle w:val="Normal"/>
              <w:rPr>
                <w:rFonts w:ascii="Liberation Serif" w:hAnsi="Liberation Serif"/>
                <w:b/>
                <w:bCs/>
                <w:color w:val="003300"/>
                <w:lang w:val="pt-BR"/>
              </w:rPr>
            </w:pPr>
            <w:r>
              <w:rPr>
                <w:rFonts w:ascii="Liberation Serif" w:hAnsi="Liberation Serif"/>
                <w:b/>
                <w:bCs/>
                <w:color w:val="003300"/>
                <w:lang w:val="pt-BR"/>
              </w:rPr>
              <w:t xml:space="preserve">COMITÉ DE RÉDACTION </w:t>
            </w:r>
          </w:p>
          <w:p>
            <w:pPr>
              <w:pStyle w:val="Normal"/>
              <w:rPr/>
            </w:pPr>
            <w:r>
              <w:rPr/>
            </w:r>
          </w:p>
        </w:tc>
        <w:tc>
          <w:tcPr>
            <w:tcW w:w="7381" w:type="dxa"/>
            <w:tcBorders>
              <w:top w:val="nil"/>
              <w:left w:val="nil"/>
              <w:bottom w:val="nil"/>
              <w:insideH w:val="nil"/>
              <w:right w:val="nil"/>
              <w:insideV w:val="nil"/>
            </w:tcBorders>
            <w:shd w:fill="FFFFFF" w:val="clear"/>
          </w:tcPr>
          <w:p>
            <w:pPr>
              <w:pStyle w:val="Normal"/>
              <w:jc w:val="both"/>
              <w:rPr>
                <w:bCs/>
                <w:lang w:val="da-DK"/>
              </w:rPr>
            </w:pPr>
            <w:r>
              <w:rPr>
                <w:bCs/>
                <w:lang w:val="da-DK"/>
              </w:rPr>
              <w:t>Corinne Flicker (France) - Michel Mouyssinat (France) - Joseph Duemer (Etats-Unis) - Alain Guillemin (France) - Trịnh Văn Minh (Vietnam) -</w:t>
            </w:r>
            <w:r>
              <w:rPr>
                <w:rFonts w:eastAsia="Times New Roman"/>
                <w:bCs/>
                <w:lang w:val="da-DK"/>
              </w:rPr>
              <w:t xml:space="preserve">  </w:t>
            </w:r>
            <w:r>
              <w:rPr>
                <w:bCs/>
                <w:lang w:val="da-DK"/>
              </w:rPr>
              <w:t xml:space="preserve">Natalia Kraevskaya (Russie) - Lê Trọng Phương (Allemagne) - Jack Yeager (Etats-Unis), </w:t>
            </w:r>
            <w:r>
              <w:rPr>
                <w:lang w:val="en-US"/>
              </w:rPr>
              <w:t>Kazuo Masuda</w:t>
            </w:r>
            <w:r>
              <w:rPr>
                <w:bCs/>
                <w:lang w:val="da-DK"/>
              </w:rPr>
              <w:t xml:space="preserve"> (Japon) - </w:t>
            </w:r>
            <w:r>
              <w:rPr>
                <w:b w:val="false"/>
                <w:bCs w:val="false"/>
                <w:sz w:val="26"/>
                <w:szCs w:val="26"/>
                <w:lang w:val="da-DK"/>
              </w:rPr>
              <w:t>Pak Man-Ghyu</w:t>
            </w:r>
            <w:r>
              <w:rPr>
                <w:bCs/>
                <w:lang w:val="da-DK"/>
              </w:rPr>
              <w:t xml:space="preserve"> (Corée du Sud)</w:t>
            </w:r>
          </w:p>
        </w:tc>
      </w:tr>
      <w:tr>
        <w:trPr>
          <w:cantSplit w:val="false"/>
        </w:trPr>
        <w:tc>
          <w:tcPr>
            <w:tcW w:w="2997" w:type="dxa"/>
            <w:tcBorders>
              <w:top w:val="nil"/>
              <w:left w:val="nil"/>
              <w:bottom w:val="nil"/>
              <w:insideH w:val="nil"/>
              <w:right w:val="nil"/>
              <w:insideV w:val="nil"/>
            </w:tcBorders>
            <w:shd w:fill="FFFFFF" w:val="clear"/>
          </w:tcPr>
          <w:p>
            <w:pPr>
              <w:pStyle w:val="Normal"/>
              <w:rPr>
                <w:rFonts w:eastAsia="Times New Roman"/>
                <w:b/>
                <w:bCs/>
                <w:color w:val="003300"/>
                <w:lang w:eastAsia="en-US"/>
              </w:rPr>
            </w:pPr>
            <w:r>
              <w:rPr>
                <w:rFonts w:eastAsia="Times New Roman"/>
                <w:b/>
                <w:bCs/>
                <w:color w:val="003300"/>
                <w:lang w:eastAsia="en-US"/>
              </w:rPr>
              <w:t>REPRESENTANTE DE  LA FAP EN EUROPE</w:t>
            </w:r>
          </w:p>
        </w:tc>
        <w:tc>
          <w:tcPr>
            <w:tcW w:w="7381" w:type="dxa"/>
            <w:tcBorders>
              <w:top w:val="nil"/>
              <w:left w:val="nil"/>
              <w:bottom w:val="nil"/>
              <w:insideH w:val="nil"/>
              <w:right w:val="nil"/>
              <w:insideV w:val="nil"/>
            </w:tcBorders>
            <w:shd w:fill="FFFFFF" w:val="clear"/>
          </w:tcPr>
          <w:p>
            <w:pPr>
              <w:pStyle w:val="Normal"/>
              <w:rPr>
                <w:rFonts w:eastAsia="Times New Roman"/>
                <w:lang w:val="da-DK" w:eastAsia="en-US"/>
              </w:rPr>
            </w:pPr>
            <w:r>
              <w:rPr>
                <w:rFonts w:eastAsia="Times New Roman"/>
                <w:lang w:val="da-DK" w:eastAsia="en-US"/>
              </w:rPr>
              <w:t xml:space="preserve">Nguyễn Thị Hiệp </w:t>
            </w:r>
          </w:p>
          <w:p>
            <w:pPr>
              <w:pStyle w:val="Normal"/>
              <w:rPr>
                <w:rFonts w:eastAsia="Times New Roman"/>
                <w:lang w:val="da-DK" w:eastAsia="en-US"/>
              </w:rPr>
            </w:pPr>
            <w:r>
              <w:rPr>
                <w:rFonts w:eastAsia="Times New Roman"/>
                <w:lang w:val="da-DK" w:eastAsia="en-US"/>
              </w:rPr>
            </w:r>
          </w:p>
        </w:tc>
      </w:tr>
      <w:tr>
        <w:trPr>
          <w:cantSplit w:val="false"/>
        </w:trPr>
        <w:tc>
          <w:tcPr>
            <w:tcW w:w="2997" w:type="dxa"/>
            <w:tcBorders>
              <w:top w:val="nil"/>
              <w:left w:val="nil"/>
              <w:bottom w:val="nil"/>
              <w:insideH w:val="nil"/>
              <w:right w:val="nil"/>
              <w:insideV w:val="nil"/>
            </w:tcBorders>
            <w:shd w:fill="FFFFFF" w:val="clear"/>
          </w:tcPr>
          <w:p>
            <w:pPr>
              <w:pStyle w:val="Normal"/>
              <w:rPr>
                <w:b/>
                <w:color w:val="003300"/>
                <w:lang w:val="fr-FR"/>
              </w:rPr>
            </w:pPr>
            <w:r>
              <w:rPr>
                <w:b/>
                <w:color w:val="003300"/>
                <w:lang w:val="fr-FR"/>
              </w:rPr>
              <w:t>RUBRIQUES</w:t>
            </w:r>
          </w:p>
        </w:tc>
        <w:tc>
          <w:tcPr>
            <w:tcW w:w="7381" w:type="dxa"/>
            <w:tcBorders>
              <w:top w:val="nil"/>
              <w:left w:val="nil"/>
              <w:bottom w:val="nil"/>
              <w:insideH w:val="nil"/>
              <w:right w:val="nil"/>
              <w:insideV w:val="nil"/>
            </w:tcBorders>
            <w:shd w:fill="FFFFFF" w:val="clear"/>
          </w:tcPr>
          <w:p>
            <w:pPr>
              <w:pStyle w:val="Normal"/>
              <w:jc w:val="both"/>
              <w:rPr>
                <w:lang w:val="fr-FR"/>
              </w:rPr>
            </w:pPr>
            <w:r>
              <w:rPr>
                <w:lang w:val="fr-FR"/>
              </w:rPr>
              <w:t xml:space="preserve">Espace francophone - Économie et développement - Science et technologie - Histoire - Culture et arts – Idées, </w:t>
            </w:r>
            <w:bookmarkStart w:id="0" w:name="_GoBack"/>
            <w:bookmarkEnd w:id="0"/>
            <w:r>
              <w:rPr>
                <w:lang w:val="fr-FR"/>
              </w:rPr>
              <w:t>Recension, Trésors retrouvés (publication de textes rares)</w:t>
            </w:r>
          </w:p>
        </w:tc>
      </w:tr>
      <w:tr>
        <w:trPr>
          <w:cantSplit w:val="false"/>
        </w:trPr>
        <w:tc>
          <w:tcPr>
            <w:tcW w:w="2997" w:type="dxa"/>
            <w:tcBorders>
              <w:top w:val="nil"/>
              <w:left w:val="nil"/>
              <w:bottom w:val="nil"/>
              <w:insideH w:val="nil"/>
              <w:right w:val="nil"/>
              <w:insideV w:val="nil"/>
            </w:tcBorders>
            <w:shd w:fill="FFFFFF" w:val="clear"/>
          </w:tcPr>
          <w:p>
            <w:pPr>
              <w:pStyle w:val="Normal"/>
              <w:rPr>
                <w:b/>
                <w:color w:val="003300"/>
                <w:lang w:val="fr-FR"/>
              </w:rPr>
            </w:pPr>
            <w:r>
              <w:rPr>
                <w:b/>
                <w:color w:val="003300"/>
                <w:lang w:val="fr-FR"/>
              </w:rPr>
              <w:t>CONTACT</w:t>
            </w:r>
          </w:p>
        </w:tc>
        <w:tc>
          <w:tcPr>
            <w:tcW w:w="7381" w:type="dxa"/>
            <w:tcBorders>
              <w:top w:val="nil"/>
              <w:left w:val="nil"/>
              <w:bottom w:val="nil"/>
              <w:insideH w:val="nil"/>
              <w:right w:val="nil"/>
              <w:insideV w:val="nil"/>
            </w:tcBorders>
            <w:shd w:fill="FFFFFF" w:val="clear"/>
          </w:tcPr>
          <w:p>
            <w:pPr>
              <w:pStyle w:val="Normal"/>
              <w:jc w:val="both"/>
              <w:rPr>
                <w:b/>
                <w:lang w:val="fr-FR"/>
              </w:rPr>
            </w:pPr>
            <w:r>
              <w:rPr>
                <w:b/>
                <w:lang w:val="fr-FR"/>
              </w:rPr>
              <w:t>La Francophonie en Asie-Pacifique</w:t>
            </w:r>
          </w:p>
          <w:p>
            <w:pPr>
              <w:pStyle w:val="Normal"/>
              <w:ind w:left="0" w:right="0" w:hanging="0"/>
              <w:jc w:val="both"/>
              <w:rPr/>
            </w:pPr>
            <w:r>
              <w:rPr>
                <w:lang w:val="fr-FR"/>
              </w:rPr>
              <w:t xml:space="preserve">Institut Francophone International – Université Nationale du Vietnam, Hanoi, </w:t>
            </w:r>
            <w:r>
              <w:rPr/>
              <w:t xml:space="preserve">Bâtiment C3, 144 Xuan Thuy, Cau Giay, Hanoi </w:t>
            </w:r>
          </w:p>
          <w:p>
            <w:pPr>
              <w:pStyle w:val="Normal"/>
              <w:ind w:left="0" w:right="0" w:firstLine="142"/>
              <w:jc w:val="both"/>
              <w:rPr>
                <w:rFonts w:eastAsia="Times New Roman"/>
                <w:color w:val="000000"/>
                <w:lang w:val="fr-FR"/>
              </w:rPr>
            </w:pPr>
            <w:r>
              <w:rPr>
                <w:rFonts w:eastAsia="Times New Roman"/>
                <w:color w:val="000000"/>
              </w:rPr>
              <w:t xml:space="preserve">    </w:t>
            </w:r>
            <w:r>
              <w:rPr>
                <w:rFonts w:eastAsia="Times New Roman"/>
                <w:color w:val="000000"/>
                <w:lang w:val="fr-FR"/>
              </w:rPr>
              <w:t>Email: fap@ifi.edu.vn</w:t>
            </w:r>
          </w:p>
          <w:p>
            <w:pPr>
              <w:pStyle w:val="Normal"/>
              <w:ind w:left="0" w:right="0" w:firstLine="142"/>
              <w:jc w:val="both"/>
              <w:rPr>
                <w:color w:val="000000"/>
                <w:lang w:val="fr-FR"/>
              </w:rPr>
            </w:pPr>
            <w:r>
              <w:rPr>
                <w:rFonts w:eastAsia="Times New Roman"/>
                <w:color w:val="000000"/>
                <w:lang w:val="fr-FR"/>
              </w:rPr>
              <w:t xml:space="preserve">    </w:t>
            </w:r>
            <w:r>
              <w:rPr>
                <w:color w:val="000000"/>
                <w:lang w:val="fr-FR"/>
              </w:rPr>
              <w:t xml:space="preserve">Tel: +84 (04) 37 450 173 </w:t>
            </w:r>
          </w:p>
          <w:p>
            <w:pPr>
              <w:pStyle w:val="Normal"/>
              <w:ind w:left="0" w:right="0" w:hanging="0"/>
              <w:jc w:val="both"/>
              <w:rPr>
                <w:color w:val="000000"/>
                <w:lang w:val="fr-FR"/>
              </w:rPr>
            </w:pPr>
            <w:r>
              <w:rPr>
                <w:b/>
                <w:bCs/>
                <w:i/>
                <w:iCs/>
                <w:color w:val="000000"/>
                <w:lang w:val="fr-FR"/>
              </w:rPr>
              <w:t>Sur le site web de l'IFI</w:t>
            </w:r>
            <w:r>
              <w:rPr>
                <w:color w:val="000000"/>
                <w:lang w:val="fr-FR"/>
              </w:rPr>
              <w:t>: http://ifi.edu.vn/fr/news/Revue-FAP/Presentation-de-la-revue-La-Francophonie-en-Asie-Pacifique-FAP-480.html</w:t>
            </w:r>
          </w:p>
        </w:tc>
      </w:tr>
    </w:tbl>
    <w:p>
      <w:pPr>
        <w:pStyle w:val="Tiu4"/>
        <w:numPr>
          <w:ilvl w:val="3"/>
          <w:numId w:val="1"/>
        </w:numPr>
        <w:rPr/>
      </w:pPr>
      <w:r>
        <w:rPr/>
      </w:r>
    </w:p>
    <w:tbl>
      <w:tblPr>
        <w:jc w:val="left"/>
        <w:tblInd w:w="55" w:type="dxa"/>
        <w:tblBorders>
          <w:top w:val="nil"/>
          <w:left w:val="nil"/>
          <w:bottom w:val="nil"/>
          <w:insideH w:val="nil"/>
          <w:right w:val="nil"/>
          <w:insideV w:val="nil"/>
        </w:tblBorders>
        <w:tblCellMar>
          <w:top w:w="55" w:type="dxa"/>
          <w:left w:w="55" w:type="dxa"/>
          <w:bottom w:w="55" w:type="dxa"/>
          <w:right w:w="55" w:type="dxa"/>
        </w:tblCellMar>
      </w:tblPr>
      <w:tblGrid>
        <w:gridCol w:w="4677"/>
        <w:gridCol w:w="4677"/>
      </w:tblGrid>
      <w:tr>
        <w:trPr>
          <w:cantSplit w:val="false"/>
        </w:trPr>
        <w:tc>
          <w:tcPr>
            <w:tcW w:w="4677" w:type="dxa"/>
            <w:tcBorders>
              <w:top w:val="nil"/>
              <w:left w:val="nil"/>
              <w:bottom w:val="nil"/>
              <w:insideH w:val="nil"/>
              <w:right w:val="nil"/>
              <w:insideV w:val="nil"/>
            </w:tcBorders>
            <w:shd w:fill="FFFFFF" w:val="clear"/>
          </w:tcPr>
          <w:p>
            <w:pPr>
              <w:pStyle w:val="Nidungbng"/>
              <w:numPr>
                <w:ilvl w:val="0"/>
                <w:numId w:val="1"/>
              </w:numPr>
              <w:rPr/>
            </w:pPr>
            <w:r>
              <w:rPr/>
              <w:drawing>
                <wp:anchor behindDoc="0" distT="0" distB="0" distL="0" distR="0" simplePos="0" locked="0" layoutInCell="1" allowOverlap="1" relativeHeight="1">
                  <wp:simplePos x="0" y="0"/>
                  <wp:positionH relativeFrom="column">
                    <wp:posOffset>320040</wp:posOffset>
                  </wp:positionH>
                  <wp:positionV relativeFrom="paragraph">
                    <wp:posOffset>55245</wp:posOffset>
                  </wp:positionV>
                  <wp:extent cx="786130" cy="530225"/>
                  <wp:effectExtent l="0" t="0" r="0" b="0"/>
                  <wp:wrapSquare wrapText="largest"/>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786130" cy="530225"/>
                          </a:xfrm>
                          <a:prstGeom prst="rect">
                            <a:avLst/>
                          </a:prstGeom>
                          <a:noFill/>
                          <a:ln w="9525">
                            <a:noFill/>
                            <a:miter lim="800000"/>
                            <a:headEnd/>
                            <a:tailEnd/>
                          </a:ln>
                        </pic:spPr>
                      </pic:pic>
                    </a:graphicData>
                  </a:graphic>
                </wp:anchor>
              </w:drawing>
            </w:r>
          </w:p>
          <w:p>
            <w:pPr>
              <w:pStyle w:val="Nidungbng"/>
              <w:numPr>
                <w:ilvl w:val="0"/>
                <w:numId w:val="1"/>
              </w:numPr>
              <w:rPr/>
            </w:pPr>
            <w:r>
              <w:rPr/>
            </w:r>
          </w:p>
          <w:p>
            <w:pPr>
              <w:pStyle w:val="Nidungbng"/>
              <w:numPr>
                <w:ilvl w:val="0"/>
                <w:numId w:val="1"/>
              </w:numPr>
              <w:rPr/>
            </w:pPr>
            <w:r>
              <w:rPr/>
            </w:r>
          </w:p>
        </w:tc>
        <w:tc>
          <w:tcPr>
            <w:tcW w:w="4677" w:type="dxa"/>
            <w:tcBorders>
              <w:top w:val="nil"/>
              <w:left w:val="nil"/>
              <w:bottom w:val="nil"/>
              <w:insideH w:val="nil"/>
              <w:right w:val="nil"/>
              <w:insideV w:val="nil"/>
            </w:tcBorders>
            <w:shd w:fill="FFFFFF" w:val="clear"/>
          </w:tcPr>
          <w:p>
            <w:pPr>
              <w:pStyle w:val="Nidungbng"/>
              <w:numPr>
                <w:ilvl w:val="0"/>
                <w:numId w:val="1"/>
              </w:numPr>
              <w:rPr/>
            </w:pPr>
            <w:r>
              <w:rPr/>
              <w:drawing>
                <wp:inline distT="0" distB="0" distL="0" distR="0">
                  <wp:extent cx="2581275" cy="571500"/>
                  <wp:effectExtent l="0" t="0" r="0" b="0"/>
                  <wp:docPr id="3" name="Picture" descr="Y:\aix-sc-pup\Communs\LOGOS\AMUPup3lig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Y:\aix-sc-pup\Communs\LOGOS\AMUPup3lignes.jpg"/>
                          <pic:cNvPicPr>
                            <a:picLocks noChangeAspect="1" noChangeArrowheads="1"/>
                          </pic:cNvPicPr>
                        </pic:nvPicPr>
                        <pic:blipFill>
                          <a:blip r:embed="rId5"/>
                          <a:stretch>
                            <a:fillRect/>
                          </a:stretch>
                        </pic:blipFill>
                        <pic:spPr bwMode="auto">
                          <a:xfrm>
                            <a:off x="0" y="0"/>
                            <a:ext cx="2581275" cy="571500"/>
                          </a:xfrm>
                          <a:prstGeom prst="rect">
                            <a:avLst/>
                          </a:prstGeom>
                          <a:noFill/>
                          <a:ln w="9525">
                            <a:noFill/>
                            <a:miter lim="800000"/>
                            <a:headEnd/>
                            <a:tailEnd/>
                          </a:ln>
                        </pic:spPr>
                      </pic:pic>
                    </a:graphicData>
                  </a:graphic>
                </wp:inline>
              </w:drawing>
            </w:r>
          </w:p>
        </w:tc>
      </w:tr>
    </w:tbl>
    <w:p>
      <w:pPr>
        <w:pStyle w:val="Normal"/>
        <w:numPr>
          <w:ilvl w:val="0"/>
          <w:numId w:val="1"/>
        </w:numPr>
        <w:jc w:val="center"/>
        <w:rPr/>
      </w:pPr>
      <w:r>
        <w:rPr/>
      </w:r>
    </w:p>
    <w:p>
      <w:pPr>
        <w:pStyle w:val="Normal"/>
        <w:widowControl w:val="false"/>
        <w:suppressAutoHyphens w:val="true"/>
        <w:bidi w:val="0"/>
        <w:ind w:left="0" w:right="-3288" w:hanging="0"/>
        <w:jc w:val="left"/>
        <w:rPr>
          <w:rFonts w:eastAsia="Times New Roman"/>
          <w:b/>
          <w:bCs/>
          <w:color w:val="CC0000"/>
          <w:sz w:val="36"/>
          <w:szCs w:val="36"/>
          <w:lang w:eastAsia="en-US"/>
        </w:rPr>
      </w:pPr>
      <w:r>
        <w:rPr>
          <w:rFonts w:eastAsia="Times New Roman"/>
          <w:b/>
          <w:bCs/>
          <w:color w:val="CC0000"/>
          <w:lang w:eastAsia="en-US"/>
        </w:rPr>
        <w:t xml:space="preserve">                                       </w:t>
      </w:r>
      <w:r>
        <w:rPr>
          <w:rFonts w:eastAsia="Times New Roman"/>
          <w:b/>
          <w:bCs/>
          <w:color w:val="CC0000"/>
          <w:sz w:val="36"/>
          <w:szCs w:val="36"/>
          <w:lang w:eastAsia="en-US"/>
        </w:rPr>
        <w:t xml:space="preserve"> </w:t>
      </w:r>
      <w:r>
        <w:rPr>
          <w:rFonts w:eastAsia="Times New Roman"/>
          <w:b/>
          <w:bCs/>
          <w:color w:val="CC0000"/>
          <w:sz w:val="36"/>
          <w:szCs w:val="36"/>
          <w:lang w:eastAsia="en-US"/>
        </w:rPr>
        <w:t>INSTRUCTIONS AUX AUTEURS</w:t>
      </w:r>
    </w:p>
    <w:p>
      <w:pPr>
        <w:pStyle w:val="Normal"/>
        <w:widowControl w:val="false"/>
        <w:suppressAutoHyphens w:val="true"/>
        <w:bidi w:val="0"/>
        <w:ind w:left="0" w:right="-4876" w:hanging="0"/>
        <w:jc w:val="left"/>
        <w:rPr>
          <w:rFonts w:eastAsia="Times New Roman"/>
          <w:b/>
          <w:bCs/>
          <w:color w:val="C00000"/>
          <w:sz w:val="32"/>
          <w:szCs w:val="32"/>
          <w:lang w:val="fr-FR" w:eastAsia="en-US"/>
        </w:rPr>
      </w:pPr>
      <w:r>
        <w:rPr>
          <w:rFonts w:eastAsia="Times New Roman"/>
          <w:b/>
          <w:bCs/>
          <w:color w:val="C00000"/>
          <w:sz w:val="36"/>
          <w:szCs w:val="36"/>
          <w:lang w:val="fr-FR" w:eastAsia="en-US"/>
        </w:rPr>
        <w:t xml:space="preserve">              </w:t>
      </w:r>
      <w:r>
        <w:rPr>
          <w:rFonts w:eastAsia="Times New Roman"/>
          <w:b/>
          <w:bCs/>
          <w:color w:val="C00000"/>
          <w:sz w:val="32"/>
          <w:szCs w:val="32"/>
          <w:lang w:val="fr-FR" w:eastAsia="en-US"/>
        </w:rPr>
        <w:t xml:space="preserve">  </w:t>
      </w:r>
      <w:r>
        <w:rPr>
          <w:rFonts w:eastAsia="Times New Roman"/>
          <w:b/>
          <w:bCs/>
          <w:color w:val="C00000"/>
          <w:sz w:val="32"/>
          <w:szCs w:val="32"/>
          <w:lang w:val="fr-FR" w:eastAsia="en-US"/>
        </w:rPr>
        <w:t xml:space="preserve">LA FRANCOPHONIE EN ASIE-PACIFIQUE (FAP) </w:t>
      </w:r>
    </w:p>
    <w:p>
      <w:pPr>
        <w:pStyle w:val="Normal"/>
        <w:widowControl w:val="false"/>
        <w:suppressAutoHyphens w:val="true"/>
        <w:bidi w:val="0"/>
        <w:ind w:left="0" w:right="-4876" w:hanging="0"/>
        <w:jc w:val="left"/>
        <w:rPr>
          <w:rFonts w:eastAsia="Times New Roman"/>
          <w:color w:val="579D1C"/>
          <w:lang w:eastAsia="en-US"/>
        </w:rPr>
      </w:pPr>
      <w:r>
        <w:rPr>
          <w:rFonts w:eastAsia="Times New Roman"/>
          <w:color w:val="579D1C"/>
          <w:lang w:eastAsia="en-US"/>
        </w:rPr>
      </w:r>
    </w:p>
    <w:p>
      <w:pPr>
        <w:pStyle w:val="CommentText"/>
        <w:ind w:left="0" w:right="0" w:firstLine="360"/>
        <w:jc w:val="both"/>
        <w:rPr>
          <w:rFonts w:eastAsia="Times New Roman"/>
          <w:lang w:val="fr-FR" w:eastAsia="en-US"/>
        </w:rPr>
      </w:pPr>
      <w:r>
        <w:rPr>
          <w:rFonts w:eastAsia="Times New Roman"/>
          <w:lang w:val="fr-FR" w:eastAsia="en-US"/>
        </w:rPr>
        <w:t>1. Tout texte de recherche doit avoir un contenu récent et ne doit pas avoir fait l’objet d’une publication préalable ailleurs (dans une autre revue ou dans un ouvrage)</w:t>
      </w:r>
    </w:p>
    <w:p>
      <w:pPr>
        <w:pStyle w:val="Normal"/>
        <w:ind w:left="0" w:right="0" w:firstLine="360"/>
        <w:jc w:val="both"/>
        <w:rPr>
          <w:lang w:val="fr-FR"/>
        </w:rPr>
      </w:pPr>
      <w:r>
        <w:rPr>
          <w:lang w:val="fr-FR"/>
        </w:rPr>
        <w:t xml:space="preserve">2. Le texte doit être rédigé en français. Il doit être dactylographié en police Times New Roman en double interligne. </w:t>
      </w:r>
    </w:p>
    <w:p>
      <w:pPr>
        <w:pStyle w:val="Normal"/>
        <w:widowControl w:val="false"/>
        <w:suppressAutoHyphens w:val="true"/>
        <w:bidi w:val="0"/>
        <w:ind w:left="0" w:right="0" w:firstLine="340"/>
        <w:jc w:val="both"/>
        <w:rPr>
          <w:lang w:val="fr-FR"/>
        </w:rPr>
      </w:pPr>
      <w:r>
        <w:rPr>
          <w:lang w:val="fr-FR"/>
        </w:rPr>
        <w:t>3. Le texte  est accompagné d’un résumé en français et d’un résumé en anglais de moins de 200 mots avec 5 mots-clés au maximum.</w:t>
      </w:r>
    </w:p>
    <w:p>
      <w:pPr>
        <w:pStyle w:val="Normal"/>
        <w:ind w:left="0" w:right="0" w:firstLine="360"/>
        <w:jc w:val="both"/>
        <w:rPr>
          <w:rFonts w:eastAsia="Times New Roman"/>
          <w:color w:val="00B050"/>
          <w:lang w:val="fr-FR" w:eastAsia="en-US"/>
        </w:rPr>
      </w:pPr>
      <w:r>
        <w:rPr>
          <w:lang w:val="fr-FR"/>
        </w:rPr>
        <w:t xml:space="preserve">4. Le texte doit faire apparaître les éléments suivants : titre, nom de l’auteur,  nom de son institution, résumé du texte, mots-clés,  remerciements (le cas échéant) et références </w:t>
      </w:r>
      <w:bookmarkStart w:id="1" w:name="__DdeLink__298_116660842"/>
      <w:r>
        <w:rPr>
          <w:lang w:val="fr-FR"/>
        </w:rPr>
        <w:t>bibliographiques</w:t>
      </w:r>
      <w:bookmarkEnd w:id="1"/>
      <w:r>
        <w:rPr>
          <w:lang w:val="fr-FR"/>
        </w:rPr>
        <w:t>. L'auteur doit préciser ses coordonnées  (adresse de son institution, email, numéro de téléphone et de fax) à la première page du texte. Le nom propre doit être écrit avec les accents, le cas échéant</w:t>
      </w:r>
      <w:r>
        <w:rPr>
          <w:rFonts w:eastAsia="Times New Roman"/>
          <w:color w:val="00B050"/>
          <w:lang w:val="fr-FR" w:eastAsia="en-US"/>
        </w:rPr>
        <w:t>.</w:t>
      </w:r>
    </w:p>
    <w:p>
      <w:pPr>
        <w:pStyle w:val="Normal"/>
        <w:ind w:left="0" w:right="0" w:firstLine="360"/>
        <w:jc w:val="both"/>
        <w:rPr>
          <w:color w:val="000000"/>
          <w:spacing w:val="-2"/>
          <w:lang w:val="fr-FR"/>
        </w:rPr>
      </w:pPr>
      <w:r>
        <w:rPr>
          <w:spacing w:val="-2"/>
          <w:lang w:val="fr-FR"/>
        </w:rPr>
        <w:t xml:space="preserve">5. Les références bibliographiques seront selon l'ordre alphabétique et dans l’ordre des </w:t>
      </w:r>
      <w:r>
        <w:rPr>
          <w:color w:val="000000"/>
          <w:spacing w:val="-2"/>
          <w:lang w:val="fr-FR"/>
        </w:rPr>
        <w:t>citations.</w:t>
      </w:r>
    </w:p>
    <w:p>
      <w:pPr>
        <w:pStyle w:val="Normal"/>
        <w:ind w:left="0" w:right="0" w:firstLine="360"/>
        <w:jc w:val="both"/>
        <w:rPr>
          <w:color w:val="000000"/>
          <w:spacing w:val="-2"/>
          <w:sz w:val="24"/>
          <w:szCs w:val="24"/>
          <w:lang w:val="fr-FR"/>
        </w:rPr>
      </w:pPr>
      <w:r>
        <w:rPr>
          <w:color w:val="000000"/>
          <w:spacing w:val="-2"/>
          <w:sz w:val="24"/>
          <w:szCs w:val="24"/>
          <w:lang w:val="fr-FR"/>
        </w:rPr>
        <w:t>5.1. Monographie</w:t>
      </w:r>
    </w:p>
    <w:p>
      <w:pPr>
        <w:pStyle w:val="Exemple"/>
        <w:rPr>
          <w:color w:val="000000"/>
          <w:sz w:val="24"/>
          <w:szCs w:val="24"/>
        </w:rPr>
      </w:pPr>
      <w:r>
        <w:rPr>
          <w:color w:val="000000"/>
          <w:sz w:val="24"/>
          <w:szCs w:val="24"/>
        </w:rPr>
        <w:t xml:space="preserve">NOM, Prénom, </w:t>
      </w:r>
      <w:r>
        <w:rPr>
          <w:i/>
          <w:iCs/>
          <w:color w:val="000000"/>
          <w:sz w:val="24"/>
          <w:szCs w:val="24"/>
        </w:rPr>
        <w:t>Titre</w:t>
      </w:r>
      <w:r>
        <w:rPr>
          <w:color w:val="000000"/>
          <w:sz w:val="24"/>
          <w:szCs w:val="24"/>
        </w:rPr>
        <w:t>, Ville, Éditeur, année.</w:t>
      </w:r>
    </w:p>
    <w:p>
      <w:pPr>
        <w:pStyle w:val="Exemple"/>
        <w:rPr>
          <w:color w:val="000000"/>
          <w:sz w:val="24"/>
          <w:szCs w:val="24"/>
        </w:rPr>
      </w:pPr>
      <w:r>
        <w:rPr>
          <w:color w:val="000000"/>
          <w:sz w:val="24"/>
          <w:szCs w:val="24"/>
        </w:rPr>
        <w:t xml:space="preserve">DUPONT, Pierre, </w:t>
      </w:r>
      <w:r>
        <w:rPr>
          <w:i/>
          <w:color w:val="000000"/>
          <w:sz w:val="24"/>
          <w:szCs w:val="24"/>
        </w:rPr>
        <w:t>La construction des ponts sur la Sorgue, 1880-1914</w:t>
      </w:r>
      <w:r>
        <w:rPr>
          <w:color w:val="000000"/>
          <w:sz w:val="24"/>
          <w:szCs w:val="24"/>
        </w:rPr>
        <w:t>, Aix-en-Provence, PUP, 1996.</w:t>
      </w:r>
    </w:p>
    <w:p>
      <w:pPr>
        <w:pStyle w:val="Normal"/>
        <w:rPr>
          <w:color w:val="000000"/>
          <w:sz w:val="24"/>
          <w:szCs w:val="24"/>
        </w:rPr>
      </w:pPr>
      <w:r>
        <w:rPr>
          <w:color w:val="000000"/>
          <w:sz w:val="24"/>
          <w:szCs w:val="24"/>
        </w:rPr>
        <w:t xml:space="preserve">      </w:t>
      </w:r>
      <w:r>
        <w:rPr>
          <w:color w:val="000000"/>
          <w:sz w:val="24"/>
          <w:szCs w:val="24"/>
        </w:rPr>
        <w:t>5.2. Ouvrage collectif</w:t>
      </w:r>
    </w:p>
    <w:p>
      <w:pPr>
        <w:pStyle w:val="Exemple"/>
        <w:rPr>
          <w:color w:val="000000"/>
          <w:sz w:val="24"/>
          <w:szCs w:val="24"/>
        </w:rPr>
      </w:pPr>
      <w:r>
        <w:rPr>
          <w:color w:val="000000"/>
          <w:sz w:val="24"/>
          <w:szCs w:val="24"/>
        </w:rPr>
        <w:t xml:space="preserve">NOM, Prénom, dir., </w:t>
      </w:r>
      <w:r>
        <w:rPr>
          <w:i/>
          <w:color w:val="000000"/>
          <w:sz w:val="24"/>
          <w:szCs w:val="24"/>
        </w:rPr>
        <w:t>Titre</w:t>
      </w:r>
      <w:r>
        <w:rPr>
          <w:color w:val="000000"/>
          <w:sz w:val="24"/>
          <w:szCs w:val="24"/>
        </w:rPr>
        <w:t>, Ville, Éditeur, année.</w:t>
      </w:r>
    </w:p>
    <w:p>
      <w:pPr>
        <w:pStyle w:val="Exemple"/>
        <w:rPr>
          <w:color w:val="000000"/>
          <w:sz w:val="24"/>
          <w:szCs w:val="24"/>
        </w:rPr>
      </w:pPr>
      <w:r>
        <w:rPr>
          <w:color w:val="000000"/>
          <w:sz w:val="24"/>
          <w:szCs w:val="24"/>
        </w:rPr>
        <w:t xml:space="preserve">DUPONT, Pierre, dir., </w:t>
      </w:r>
      <w:r>
        <w:rPr>
          <w:i/>
          <w:color w:val="000000"/>
          <w:sz w:val="24"/>
          <w:szCs w:val="24"/>
        </w:rPr>
        <w:t>Le sous-sol vauclusien</w:t>
      </w:r>
      <w:r>
        <w:rPr>
          <w:color w:val="000000"/>
          <w:sz w:val="24"/>
          <w:szCs w:val="24"/>
        </w:rPr>
        <w:t>, Paris, PUV, 1997.</w:t>
      </w:r>
    </w:p>
    <w:p>
      <w:pPr>
        <w:pStyle w:val="Exemple"/>
        <w:rPr>
          <w:color w:val="000000"/>
          <w:sz w:val="24"/>
          <w:szCs w:val="24"/>
        </w:rPr>
      </w:pPr>
      <w:r>
        <w:rPr>
          <w:color w:val="000000"/>
          <w:sz w:val="24"/>
          <w:szCs w:val="24"/>
        </w:rPr>
        <w:t xml:space="preserve">DURAND, Albert, dir., </w:t>
      </w:r>
      <w:r>
        <w:rPr>
          <w:i/>
          <w:color w:val="000000"/>
          <w:sz w:val="24"/>
          <w:szCs w:val="24"/>
        </w:rPr>
        <w:t>Minéralogie du Vaucluse</w:t>
      </w:r>
      <w:r>
        <w:rPr>
          <w:color w:val="000000"/>
          <w:sz w:val="24"/>
          <w:szCs w:val="24"/>
        </w:rPr>
        <w:t>, Marseille, Édisud, 1998.</w:t>
      </w:r>
    </w:p>
    <w:p>
      <w:pPr>
        <w:pStyle w:val="Normal"/>
        <w:rPr>
          <w:color w:val="000000"/>
          <w:sz w:val="24"/>
          <w:szCs w:val="24"/>
        </w:rPr>
      </w:pPr>
      <w:r>
        <w:rPr>
          <w:color w:val="000000"/>
          <w:sz w:val="24"/>
          <w:szCs w:val="24"/>
        </w:rPr>
        <w:t xml:space="preserve">      </w:t>
      </w:r>
      <w:r>
        <w:rPr>
          <w:color w:val="000000"/>
          <w:sz w:val="24"/>
          <w:szCs w:val="24"/>
        </w:rPr>
        <w:t>5.3. Article de revue</w:t>
      </w:r>
    </w:p>
    <w:p>
      <w:pPr>
        <w:pStyle w:val="Exemple"/>
        <w:rPr>
          <w:color w:val="000000"/>
          <w:sz w:val="24"/>
          <w:szCs w:val="24"/>
        </w:rPr>
      </w:pPr>
      <w:r>
        <w:rPr>
          <w:color w:val="000000"/>
          <w:sz w:val="24"/>
          <w:szCs w:val="24"/>
        </w:rPr>
        <w:t xml:space="preserve">NOM, Prénom, Titre de l’article, </w:t>
      </w:r>
      <w:r>
        <w:rPr>
          <w:i/>
          <w:iCs/>
          <w:color w:val="000000"/>
          <w:sz w:val="24"/>
          <w:szCs w:val="24"/>
        </w:rPr>
        <w:t>Titre de la revue</w:t>
      </w:r>
      <w:r>
        <w:rPr>
          <w:color w:val="000000"/>
          <w:sz w:val="24"/>
          <w:szCs w:val="24"/>
        </w:rPr>
        <w:t xml:space="preserve"> numéro, année, pages.</w:t>
      </w:r>
    </w:p>
    <w:p>
      <w:pPr>
        <w:pStyle w:val="Exemple"/>
        <w:rPr>
          <w:color w:val="000000"/>
          <w:sz w:val="24"/>
          <w:szCs w:val="24"/>
        </w:rPr>
      </w:pPr>
      <w:r>
        <w:rPr>
          <w:color w:val="000000"/>
          <w:sz w:val="24"/>
          <w:szCs w:val="24"/>
        </w:rPr>
        <w:t xml:space="preserve">DUPONT, Pierre, Description d’une borie oubliée, </w:t>
      </w:r>
      <w:r>
        <w:rPr>
          <w:i/>
          <w:color w:val="000000"/>
          <w:sz w:val="24"/>
          <w:szCs w:val="24"/>
        </w:rPr>
        <w:t>Méditerranée</w:t>
      </w:r>
      <w:r>
        <w:rPr>
          <w:color w:val="000000"/>
          <w:sz w:val="24"/>
          <w:szCs w:val="24"/>
        </w:rPr>
        <w:t xml:space="preserve"> 122, 1998, p. 233-240.</w:t>
      </w:r>
    </w:p>
    <w:p>
      <w:pPr>
        <w:pStyle w:val="Normal"/>
        <w:rPr>
          <w:color w:val="000000"/>
          <w:sz w:val="24"/>
          <w:szCs w:val="24"/>
        </w:rPr>
      </w:pPr>
      <w:r>
        <w:rPr>
          <w:color w:val="000000"/>
          <w:sz w:val="24"/>
          <w:szCs w:val="24"/>
        </w:rPr>
        <w:t xml:space="preserve">     </w:t>
      </w:r>
      <w:r>
        <w:rPr>
          <w:color w:val="000000"/>
          <w:sz w:val="24"/>
          <w:szCs w:val="24"/>
        </w:rPr>
        <w:t>5.4. Article paru dans un ouvrage collectif</w:t>
      </w:r>
    </w:p>
    <w:p>
      <w:pPr>
        <w:pStyle w:val="Exemple"/>
        <w:widowControl w:val="false"/>
        <w:suppressAutoHyphens w:val="false"/>
        <w:bidi w:val="0"/>
        <w:spacing w:lineRule="auto" w:line="240"/>
        <w:ind w:left="0" w:right="0" w:hanging="0"/>
        <w:jc w:val="left"/>
        <w:rPr>
          <w:color w:val="000000"/>
          <w:sz w:val="24"/>
          <w:szCs w:val="24"/>
        </w:rPr>
      </w:pPr>
      <w:r>
        <w:rPr>
          <w:color w:val="000000"/>
          <w:sz w:val="24"/>
          <w:szCs w:val="24"/>
        </w:rPr>
        <w:t xml:space="preserve">NOM, Prénom, </w:t>
      </w:r>
      <w:r>
        <w:rPr>
          <w:i/>
          <w:iCs/>
          <w:color w:val="000000"/>
          <w:sz w:val="24"/>
          <w:szCs w:val="24"/>
        </w:rPr>
        <w:t>Titre de l’article,</w:t>
      </w:r>
      <w:r>
        <w:rPr>
          <w:color w:val="000000"/>
          <w:sz w:val="24"/>
          <w:szCs w:val="24"/>
        </w:rPr>
        <w:t xml:space="preserve"> in NOM, Prénom, </w:t>
      </w:r>
      <w:r>
        <w:rPr>
          <w:i/>
          <w:iCs/>
          <w:color w:val="000000"/>
          <w:sz w:val="24"/>
          <w:szCs w:val="24"/>
        </w:rPr>
        <w:t>Titre de l’ouvrage</w:t>
      </w:r>
      <w:r>
        <w:rPr>
          <w:color w:val="000000"/>
          <w:sz w:val="24"/>
          <w:szCs w:val="24"/>
        </w:rPr>
        <w:t>, Ville, Éditeur, année, pages.</w:t>
      </w:r>
    </w:p>
    <w:p>
      <w:pPr>
        <w:pStyle w:val="Exemple"/>
        <w:ind w:left="0" w:right="0" w:hanging="0"/>
        <w:rPr>
          <w:color w:val="000000"/>
          <w:sz w:val="24"/>
          <w:szCs w:val="24"/>
        </w:rPr>
      </w:pPr>
      <w:r>
        <w:rPr>
          <w:color w:val="000000"/>
          <w:sz w:val="24"/>
          <w:szCs w:val="24"/>
        </w:rPr>
        <w:t xml:space="preserve">DUPONT, Pierre, Concrétions calcaires dans la grotte de Fontaine-de-Vaucluse, in DURAND, Albert, dir., </w:t>
      </w:r>
      <w:r>
        <w:rPr>
          <w:i/>
          <w:color w:val="000000"/>
          <w:sz w:val="24"/>
          <w:szCs w:val="24"/>
        </w:rPr>
        <w:t>Minéralogie du Vaucluse</w:t>
      </w:r>
      <w:r>
        <w:rPr>
          <w:color w:val="000000"/>
          <w:sz w:val="24"/>
          <w:szCs w:val="24"/>
        </w:rPr>
        <w:t>, Marseille, Édisud, 1998.</w:t>
      </w:r>
    </w:p>
    <w:p>
      <w:pPr>
        <w:pStyle w:val="Normal"/>
        <w:rPr>
          <w:color w:val="000000"/>
          <w:sz w:val="24"/>
          <w:szCs w:val="24"/>
        </w:rPr>
      </w:pPr>
      <w:r>
        <w:rPr>
          <w:color w:val="000000"/>
          <w:sz w:val="24"/>
          <w:szCs w:val="24"/>
        </w:rPr>
        <w:t>Les renvois bibliographiques se trouvent en note de bas de page. Ils se présentent comme suit :</w:t>
      </w:r>
    </w:p>
    <w:p>
      <w:pPr>
        <w:pStyle w:val="Exemple"/>
        <w:rPr>
          <w:color w:val="000000"/>
          <w:sz w:val="24"/>
          <w:szCs w:val="24"/>
        </w:rPr>
      </w:pPr>
      <w:r>
        <w:rPr>
          <w:color w:val="000000"/>
          <w:sz w:val="24"/>
          <w:szCs w:val="24"/>
        </w:rPr>
        <w:t>Prénom Nom, Titre, Ville, Éditeur, Année, page.</w:t>
      </w:r>
    </w:p>
    <w:p>
      <w:pPr>
        <w:pStyle w:val="Exemple"/>
        <w:rPr>
          <w:color w:val="000000"/>
          <w:sz w:val="24"/>
          <w:szCs w:val="24"/>
        </w:rPr>
      </w:pPr>
      <w:r>
        <w:rPr>
          <w:color w:val="000000"/>
          <w:sz w:val="24"/>
          <w:szCs w:val="24"/>
        </w:rPr>
        <w:t>Il est inutile de mettre les titres d’articles entre guillemets.</w:t>
      </w:r>
    </w:p>
    <w:p>
      <w:pPr>
        <w:pStyle w:val="Normal"/>
        <w:rPr>
          <w:rFonts w:cs="Times New Roman"/>
          <w:color w:val="000000"/>
          <w:sz w:val="24"/>
          <w:szCs w:val="24"/>
        </w:rPr>
      </w:pPr>
      <w:r>
        <w:rPr>
          <w:rFonts w:cs="Times New Roman"/>
          <w:color w:val="000000"/>
          <w:sz w:val="24"/>
          <w:szCs w:val="24"/>
        </w:rPr>
        <w:t xml:space="preserve">Pierre Dupont, </w:t>
      </w:r>
      <w:r>
        <w:rPr>
          <w:rFonts w:cs="Times New Roman"/>
          <w:i/>
          <w:color w:val="000000"/>
          <w:sz w:val="24"/>
          <w:szCs w:val="24"/>
        </w:rPr>
        <w:t>La construction des ponts sur la Sorgue</w:t>
      </w:r>
      <w:r>
        <w:rPr>
          <w:rFonts w:cs="Times New Roman"/>
          <w:color w:val="000000"/>
          <w:sz w:val="24"/>
          <w:szCs w:val="24"/>
        </w:rPr>
        <w:t>,</w:t>
      </w:r>
      <w:r>
        <w:rPr>
          <w:rFonts w:cs="Times New Roman"/>
          <w:i/>
          <w:iCs/>
          <w:color w:val="000000"/>
          <w:sz w:val="24"/>
          <w:szCs w:val="24"/>
        </w:rPr>
        <w:t xml:space="preserve"> 1880-1914,</w:t>
      </w:r>
      <w:r>
        <w:rPr>
          <w:rFonts w:cs="Times New Roman"/>
          <w:color w:val="000000"/>
          <w:sz w:val="24"/>
          <w:szCs w:val="24"/>
        </w:rPr>
        <w:t xml:space="preserve"> Aix-en-Provence, PUP, 1996.</w:t>
      </w:r>
    </w:p>
    <w:p>
      <w:pPr>
        <w:pStyle w:val="Normal"/>
        <w:rPr>
          <w:rFonts w:cs="Gill Sans MT"/>
          <w:color w:val="000000"/>
          <w:sz w:val="24"/>
          <w:szCs w:val="24"/>
        </w:rPr>
      </w:pPr>
      <w:r>
        <w:rPr>
          <w:rFonts w:cs="Gill Sans MT"/>
          <w:color w:val="000000"/>
          <w:sz w:val="24"/>
          <w:szCs w:val="24"/>
        </w:rPr>
        <w:t>Abréviations bibliographiques dans les notes</w:t>
      </w:r>
    </w:p>
    <w:p>
      <w:pPr>
        <w:pStyle w:val="Normal"/>
        <w:rPr>
          <w:color w:val="000000"/>
          <w:sz w:val="24"/>
          <w:szCs w:val="24"/>
        </w:rPr>
      </w:pPr>
      <w:r>
        <w:rPr>
          <w:rFonts w:cs="Times New Roman"/>
          <w:i/>
          <w:color w:val="000000"/>
          <w:sz w:val="24"/>
          <w:szCs w:val="24"/>
        </w:rPr>
        <w:t>Id.</w:t>
      </w:r>
      <w:r>
        <w:rPr>
          <w:rFonts w:cs="Times New Roman"/>
          <w:color w:val="000000"/>
          <w:sz w:val="24"/>
          <w:szCs w:val="24"/>
        </w:rPr>
        <w:t xml:space="preserve"> : </w:t>
      </w:r>
      <w:r>
        <w:rPr>
          <w:color w:val="000000"/>
          <w:sz w:val="24"/>
          <w:szCs w:val="24"/>
        </w:rPr>
        <w:t>même auteur que dans la note précédent.</w:t>
      </w:r>
    </w:p>
    <w:p>
      <w:pPr>
        <w:pStyle w:val="Normal"/>
        <w:rPr>
          <w:color w:val="000000"/>
          <w:sz w:val="24"/>
          <w:szCs w:val="24"/>
        </w:rPr>
      </w:pPr>
      <w:r>
        <w:rPr>
          <w:rFonts w:cs="Times New Roman"/>
          <w:i/>
          <w:color w:val="000000"/>
          <w:sz w:val="24"/>
          <w:szCs w:val="24"/>
        </w:rPr>
        <w:t>Ibid.</w:t>
      </w:r>
      <w:r>
        <w:rPr>
          <w:rFonts w:cs="Times New Roman"/>
          <w:color w:val="000000"/>
          <w:sz w:val="24"/>
          <w:szCs w:val="24"/>
        </w:rPr>
        <w:t xml:space="preserve"> : </w:t>
      </w:r>
      <w:r>
        <w:rPr>
          <w:color w:val="000000"/>
          <w:sz w:val="24"/>
          <w:szCs w:val="24"/>
        </w:rPr>
        <w:t>même auteur, même ouvrage que dans la note précédente.</w:t>
      </w:r>
    </w:p>
    <w:p>
      <w:pPr>
        <w:pStyle w:val="Normal"/>
        <w:rPr>
          <w:color w:val="000000"/>
          <w:sz w:val="24"/>
          <w:szCs w:val="24"/>
        </w:rPr>
      </w:pPr>
      <w:r>
        <w:rPr>
          <w:rFonts w:cs="Times New Roman"/>
          <w:i/>
          <w:color w:val="000000"/>
          <w:sz w:val="24"/>
          <w:szCs w:val="24"/>
        </w:rPr>
        <w:t>op. cit.</w:t>
      </w:r>
      <w:r>
        <w:rPr>
          <w:rFonts w:cs="Times New Roman"/>
          <w:color w:val="000000"/>
          <w:sz w:val="24"/>
          <w:szCs w:val="24"/>
        </w:rPr>
        <w:t xml:space="preserve"> : </w:t>
      </w:r>
      <w:r>
        <w:rPr>
          <w:color w:val="000000"/>
          <w:sz w:val="24"/>
          <w:szCs w:val="24"/>
        </w:rPr>
        <w:t>même ouvrage d’un auteur cité précédemment. Toujours précédé du nom de l’auteur.</w:t>
      </w:r>
    </w:p>
    <w:p>
      <w:pPr>
        <w:pStyle w:val="Normal"/>
        <w:rPr>
          <w:rFonts w:cs="Times New Roman"/>
          <w:color w:val="000000"/>
          <w:sz w:val="24"/>
          <w:szCs w:val="24"/>
        </w:rPr>
      </w:pPr>
      <w:r>
        <w:rPr>
          <w:rFonts w:cs="Times New Roman"/>
          <w:color w:val="000000"/>
          <w:sz w:val="24"/>
          <w:szCs w:val="24"/>
        </w:rPr>
        <w:t>art. cit. : même article d’un auteur cité précédemment. Toujours précédé du nom de l’auteur.</w:t>
      </w:r>
    </w:p>
    <w:p>
      <w:pPr>
        <w:pStyle w:val="Exemple"/>
        <w:rPr>
          <w:rFonts w:cs="Times New Roman"/>
          <w:color w:val="000000"/>
          <w:sz w:val="16"/>
          <w:szCs w:val="16"/>
        </w:rPr>
      </w:pPr>
      <w:r>
        <w:rPr>
          <w:rFonts w:cs="Times New Roman"/>
          <w:color w:val="000000"/>
          <w:sz w:val="16"/>
          <w:szCs w:val="16"/>
        </w:rPr>
      </w:r>
    </w:p>
    <w:p>
      <w:pPr>
        <w:pStyle w:val="Normal"/>
        <w:ind w:left="0" w:right="0" w:firstLine="360"/>
        <w:jc w:val="both"/>
        <w:rPr>
          <w:lang w:val="fr-FR"/>
        </w:rPr>
      </w:pPr>
      <w:r>
        <w:rPr>
          <w:lang w:val="fr-FR"/>
        </w:rPr>
        <w:t xml:space="preserve">6. Les références qui ne sont pas en français doivent être traduites en français et annotées en langue d'origine entre parenthèses. </w:t>
      </w:r>
    </w:p>
    <w:sectPr>
      <w:type w:val="nextPage"/>
      <w:pgSz w:w="11906" w:h="16838"/>
      <w:pgMar w:left="1134" w:right="1412" w:header="0" w:top="1134" w:footer="0" w:bottom="1134" w:gutter="0"/>
      <w:pgNumType w:start="0"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swiss"/>
    <w:pitch w:val="default"/>
  </w:font>
  <w:font w:name="Arial">
    <w:charset w:val="01"/>
    <w:family w:val="swiss"/>
    <w:pitch w:val="default"/>
  </w:font>
  <w:font w:name="Liberation Serif">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Times New Roman" w:hAnsi="Times New Roman" w:eastAsia="Droid Sans Fallback" w:cs="FreeSans"/>
        <w:sz w:val="24"/>
        <w:szCs w:val="24"/>
        <w:lang w:val="vi-VN" w:eastAsia="zh-CN" w:bidi="hi-IN"/>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pPr>
      <w:widowControl w:val="false"/>
      <w:suppressAutoHyphens w:val="true"/>
      <w:bidi w:val="0"/>
      <w:jc w:val="left"/>
    </w:pPr>
    <w:rPr>
      <w:rFonts w:ascii="Times New Roman" w:hAnsi="Times New Roman" w:eastAsia="Droid Sans Fallback" w:cs="FreeSans"/>
      <w:color w:val="00000A"/>
      <w:sz w:val="24"/>
      <w:szCs w:val="24"/>
      <w:lang w:val="vi-VN" w:eastAsia="zh-CN" w:bidi="hi-IN"/>
    </w:rPr>
  </w:style>
  <w:style w:type="paragraph" w:styleId="Tiu2" w:customStyle="1">
    <w:name w:val="Tiêu đề 2"/>
    <w:basedOn w:val="Tiu"/>
    <w:pPr>
      <w:spacing w:before="200" w:after="120"/>
      <w:outlineLvl w:val="1"/>
    </w:pPr>
    <w:rPr>
      <w:b/>
      <w:bCs/>
      <w:sz w:val="32"/>
      <w:szCs w:val="32"/>
    </w:rPr>
  </w:style>
  <w:style w:type="paragraph" w:styleId="Tiu3" w:customStyle="1">
    <w:name w:val="Tiêu đề 3"/>
    <w:basedOn w:val="Tiu"/>
    <w:pPr>
      <w:spacing w:before="140" w:after="120"/>
      <w:outlineLvl w:val="2"/>
    </w:pPr>
    <w:rPr>
      <w:rFonts w:ascii="Liberation Serif" w:hAnsi="Liberation Serif"/>
      <w:b/>
      <w:bCs/>
      <w:color w:val="808080"/>
    </w:rPr>
  </w:style>
  <w:style w:type="paragraph" w:styleId="Tiu4" w:customStyle="1">
    <w:name w:val="Tiêu đề 4"/>
    <w:basedOn w:val="Tiu"/>
    <w:pPr>
      <w:spacing w:before="120" w:after="120"/>
      <w:outlineLvl w:val="3"/>
    </w:pPr>
    <w:rPr>
      <w:b/>
      <w:bCs/>
      <w:i/>
      <w:iCs/>
      <w:color w:val="808080"/>
      <w:sz w:val="27"/>
      <w:szCs w:val="27"/>
    </w:rPr>
  </w:style>
  <w:style w:type="character" w:styleId="DefaultParagraphFont" w:default="1">
    <w:name w:val="Default Paragraph Font"/>
    <w:uiPriority w:val="1"/>
    <w:semiHidden/>
    <w:unhideWhenUsed/>
    <w:rPr/>
  </w:style>
  <w:style w:type="paragraph" w:styleId="Tiu" w:customStyle="1">
    <w:name w:val="Tiêu đề"/>
    <w:basedOn w:val="Normal"/>
    <w:next w:val="Thnvnbn"/>
    <w:pPr>
      <w:keepNext/>
      <w:spacing w:before="240" w:after="120"/>
    </w:pPr>
    <w:rPr>
      <w:rFonts w:ascii="Arial" w:hAnsi="Arial" w:eastAsia="Droid Sans Fallback" w:cs="FreeSans"/>
      <w:sz w:val="28"/>
      <w:szCs w:val="28"/>
    </w:rPr>
  </w:style>
  <w:style w:type="paragraph" w:styleId="Thnvnbn" w:customStyle="1">
    <w:name w:val="Thân văn bản"/>
    <w:basedOn w:val="Normal"/>
    <w:pPr>
      <w:spacing w:lineRule="auto" w:line="288" w:before="0" w:after="140"/>
    </w:pPr>
    <w:rPr/>
  </w:style>
  <w:style w:type="paragraph" w:styleId="Danhsch" w:customStyle="1">
    <w:name w:val="Danh sách"/>
    <w:basedOn w:val="Thnvnbn"/>
    <w:pPr/>
    <w:rPr>
      <w:rFonts w:ascii="Times New Roman" w:hAnsi="Times New Roman" w:cs="FreeSans"/>
    </w:rPr>
  </w:style>
  <w:style w:type="paragraph" w:styleId="Ph" w:customStyle="1">
    <w:name w:val="Phụ đề"/>
    <w:basedOn w:val="Normal"/>
    <w:pPr>
      <w:suppressLineNumbers/>
      <w:spacing w:before="120" w:after="120"/>
    </w:pPr>
    <w:rPr>
      <w:rFonts w:ascii="Times New Roman" w:hAnsi="Times New Roman" w:cs="FreeSans"/>
      <w:i/>
      <w:iCs/>
      <w:sz w:val="24"/>
      <w:szCs w:val="24"/>
    </w:rPr>
  </w:style>
  <w:style w:type="paragraph" w:styleId="Chmc" w:customStyle="1">
    <w:name w:val="Chỉ mục"/>
    <w:basedOn w:val="Normal"/>
    <w:pPr>
      <w:suppressLineNumbers/>
    </w:pPr>
    <w:rPr>
      <w:rFonts w:ascii="Times New Roman" w:hAnsi="Times New Roman" w:cs="FreeSans"/>
    </w:rPr>
  </w:style>
  <w:style w:type="paragraph" w:styleId="Ngnmngang" w:customStyle="1">
    <w:name w:val="Đường nằm ngang"/>
    <w:basedOn w:val="Normal"/>
    <w:pPr>
      <w:suppressLineNumbers/>
      <w:pBdr>
        <w:top w:val="nil"/>
        <w:left w:val="nil"/>
        <w:bottom w:val="double" w:sz="2" w:space="0" w:color="808080"/>
        <w:right w:val="nil"/>
      </w:pBdr>
      <w:spacing w:before="0" w:after="283"/>
    </w:pPr>
    <w:rPr>
      <w:sz w:val="12"/>
      <w:szCs w:val="12"/>
    </w:rPr>
  </w:style>
  <w:style w:type="paragraph" w:styleId="Nidungbng" w:customStyle="1">
    <w:name w:val="Nội dung bảng"/>
    <w:basedOn w:val="Normal"/>
    <w:pPr>
      <w:suppressLineNumbers/>
    </w:pPr>
    <w:rPr/>
  </w:style>
  <w:style w:type="paragraph" w:styleId="CommentText" w:customStyle="1">
    <w:name w:val="Comment Text"/>
    <w:basedOn w:val="Normal"/>
    <w:pPr/>
    <w:rPr/>
  </w:style>
  <w:style w:type="paragraph" w:styleId="Exemple">
    <w:name w:val="exemple"/>
    <w:basedOn w:val="Normal"/>
    <w:pPr>
      <w:suppressAutoHyphens w:val="false"/>
      <w:spacing w:lineRule="auto" w:line="240"/>
    </w:pPr>
    <w:rPr>
      <w:rFonts w:ascii="Times New Roman" w:hAnsi="Times New Roman" w:cs="Times New Roman"/>
      <w:color w:val="000000"/>
      <w:sz w:val="24"/>
      <w:szCs w:val="24"/>
      <w:lang w:eastAsia="zh-CN"/>
    </w:rPr>
  </w:style>
  <w:style w:type="paragraph" w:styleId="Tiubng">
    <w:name w:val="Tiêu đề bảng"/>
    <w:basedOn w:val="Nidungbng"/>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7.jpeg"/><Relationship Id="rId3" Type="http://schemas.openxmlformats.org/officeDocument/2006/relationships/image" Target="media/image18.jpeg"/><Relationship Id="rId4" Type="http://schemas.openxmlformats.org/officeDocument/2006/relationships/image" Target="media/image19.jpeg"/><Relationship Id="rId5" Type="http://schemas.openxmlformats.org/officeDocument/2006/relationships/image" Target="media/image20.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2017-02-14T09:14:00Z</dcterms:created>
  <dc:language>vi-VN</dc:language>
  <cp:lastModifiedBy>gisele guillemin</cp:lastModifiedBy>
  <cp:lastPrinted>2017-02-15T10:57:12Z</cp:lastPrinted>
  <dcterms:modified xsi:type="dcterms:W3CDTF">2017-02-14T09:14:00Z</dcterms:modified>
  <cp:revision>2</cp:revision>
</cp:coreProperties>
</file>