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AC5D3" w14:textId="79C3D2BC" w:rsidR="4BB9A57C" w:rsidRPr="00B41FB7" w:rsidRDefault="00013FBD" w:rsidP="4DD502A5">
      <w:pPr>
        <w:jc w:val="center"/>
        <w:rPr>
          <w:rFonts w:eastAsia="Open Sans" w:cs="Open Sans"/>
          <w:b/>
          <w:bCs/>
          <w:color w:val="C00000"/>
        </w:rPr>
      </w:pPr>
      <w:r>
        <w:rPr>
          <w:rFonts w:eastAsia="Open Sans" w:cs="Open Sans"/>
          <w:b/>
          <w:bCs/>
          <w:noProof/>
          <w:color w:val="C00000"/>
        </w:rPr>
        <w:drawing>
          <wp:anchor distT="0" distB="0" distL="114300" distR="114300" simplePos="0" relativeHeight="251660288" behindDoc="0" locked="0" layoutInCell="1" allowOverlap="1" wp14:anchorId="68786DCE" wp14:editId="353AE37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9795" cy="892175"/>
            <wp:effectExtent l="0" t="0" r="0" b="3175"/>
            <wp:wrapTopAndBottom/>
            <wp:docPr id="1487658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58549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92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Open Sans" w:cs="Open Sans"/>
          <w:b/>
          <w:bCs/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1D152E55" wp14:editId="4506FEF7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522800" cy="900000"/>
            <wp:effectExtent l="0" t="0" r="1270" b="0"/>
            <wp:wrapTopAndBottom/>
            <wp:docPr id="725234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34422" name="Picture 7252344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845A6" w14:textId="52BB8695" w:rsidR="00D87302" w:rsidRPr="00B41FB7" w:rsidRDefault="005154EC" w:rsidP="4DD502A5">
      <w:pPr>
        <w:jc w:val="center"/>
        <w:rPr>
          <w:rFonts w:eastAsia="Open Sans" w:cs="Open Sans"/>
          <w:b/>
          <w:bCs/>
          <w:color w:val="820000"/>
        </w:rPr>
      </w:pPr>
      <w:r w:rsidRPr="00B41FB7">
        <w:rPr>
          <w:rFonts w:eastAsia="Open Sans" w:cs="Open Sans"/>
          <w:b/>
          <w:bCs/>
          <w:color w:val="820000"/>
        </w:rPr>
        <w:t>C</w:t>
      </w:r>
      <w:r w:rsidR="58FB135E" w:rsidRPr="00B41FB7">
        <w:rPr>
          <w:rFonts w:eastAsia="Open Sans" w:cs="Open Sans"/>
          <w:b/>
          <w:bCs/>
          <w:color w:val="820000"/>
        </w:rPr>
        <w:t xml:space="preserve">OMMUNIQUÉ DE PRESSE </w:t>
      </w:r>
    </w:p>
    <w:p w14:paraId="09500F69" w14:textId="552C74DA" w:rsidR="4C423DA2" w:rsidRDefault="006A281D" w:rsidP="0A8C9141">
      <w:pPr>
        <w:spacing w:before="240" w:after="240" w:line="225" w:lineRule="auto"/>
        <w:jc w:val="center"/>
        <w:rPr>
          <w:rFonts w:ascii="Aptos" w:eastAsia="Aptos" w:hAnsi="Aptos" w:cs="Aptos"/>
          <w:b/>
          <w:bCs/>
          <w:color w:val="171616"/>
        </w:rPr>
      </w:pPr>
      <w:r>
        <w:rPr>
          <w:rFonts w:ascii="Aptos" w:eastAsia="Aptos" w:hAnsi="Aptos" w:cs="Aptos"/>
          <w:b/>
          <w:bCs/>
          <w:color w:val="A82136"/>
        </w:rPr>
        <w:t>Conférence internationale sur la formation de ressources humaines de niveau international au service du développement de ville intelligente</w:t>
      </w:r>
      <w:r w:rsidR="007E3335">
        <w:rPr>
          <w:rFonts w:ascii="Aptos" w:eastAsia="Aptos" w:hAnsi="Aptos" w:cs="Aptos"/>
          <w:b/>
          <w:bCs/>
          <w:color w:val="A82136"/>
        </w:rPr>
        <w:t xml:space="preserve"> à Hô Chi Minh-Ville</w:t>
      </w:r>
    </w:p>
    <w:p w14:paraId="66D5CE4F" w14:textId="7D433B83" w:rsidR="00FF7470" w:rsidRPr="00B41FB7" w:rsidRDefault="64CD4B92" w:rsidP="0A8C9141">
      <w:pPr>
        <w:jc w:val="right"/>
        <w:rPr>
          <w:rFonts w:eastAsia="Open Sans" w:cs="Open Sans"/>
          <w:i/>
          <w:iCs/>
        </w:rPr>
      </w:pPr>
      <w:r w:rsidRPr="0A8C9141">
        <w:rPr>
          <w:rFonts w:eastAsia="Open Sans" w:cs="Open Sans"/>
          <w:i/>
          <w:iCs/>
        </w:rPr>
        <w:t>Hô Chi Minh-</w:t>
      </w:r>
      <w:r w:rsidR="00DD45DB">
        <w:rPr>
          <w:rFonts w:eastAsia="Open Sans" w:cs="Open Sans"/>
          <w:i/>
          <w:iCs/>
        </w:rPr>
        <w:t>V</w:t>
      </w:r>
      <w:r w:rsidRPr="0A8C9141">
        <w:rPr>
          <w:rFonts w:eastAsia="Open Sans" w:cs="Open Sans"/>
          <w:i/>
          <w:iCs/>
        </w:rPr>
        <w:t xml:space="preserve">ille, le </w:t>
      </w:r>
      <w:r w:rsidR="004E6ACA">
        <w:rPr>
          <w:rFonts w:eastAsia="Open Sans" w:cs="Open Sans"/>
          <w:i/>
          <w:iCs/>
        </w:rPr>
        <w:t>2</w:t>
      </w:r>
      <w:r w:rsidR="54E26C42" w:rsidRPr="0A8C9141">
        <w:rPr>
          <w:rFonts w:eastAsia="Open Sans" w:cs="Open Sans"/>
          <w:i/>
          <w:iCs/>
        </w:rPr>
        <w:t xml:space="preserve"> </w:t>
      </w:r>
      <w:r w:rsidR="004E6ACA">
        <w:rPr>
          <w:rFonts w:eastAsia="Open Sans" w:cs="Open Sans"/>
          <w:i/>
          <w:iCs/>
        </w:rPr>
        <w:t>novembre</w:t>
      </w:r>
      <w:r w:rsidRPr="0A8C9141">
        <w:rPr>
          <w:rFonts w:eastAsia="Open Sans" w:cs="Open Sans"/>
          <w:i/>
          <w:iCs/>
        </w:rPr>
        <w:t xml:space="preserve"> 2024</w:t>
      </w:r>
    </w:p>
    <w:p w14:paraId="3D5DF545" w14:textId="04C3D751" w:rsidR="152D13A1" w:rsidRDefault="00956637" w:rsidP="66A040DB">
      <w:pPr>
        <w:jc w:val="both"/>
        <w:rPr>
          <w:rFonts w:eastAsia="Open Sans" w:cs="Open Sans"/>
          <w:b/>
          <w:bCs/>
        </w:rPr>
      </w:pPr>
      <w:r>
        <w:rPr>
          <w:rFonts w:eastAsia="Open Sans" w:cs="Open Sans"/>
          <w:b/>
          <w:bCs/>
        </w:rPr>
        <w:t xml:space="preserve">Une conférence internationale intitulée </w:t>
      </w:r>
      <w:r w:rsidRPr="00956637">
        <w:rPr>
          <w:rFonts w:eastAsia="Open Sans" w:cs="Open Sans"/>
          <w:b/>
          <w:bCs/>
        </w:rPr>
        <w:t>« Formation des ressources humaines de haute qualité au service du développement de la ville intelligente de Hô Chi Minh-Ville : expertise, partenariats, approches opérationnelles »</w:t>
      </w:r>
      <w:r>
        <w:rPr>
          <w:rFonts w:eastAsia="Open Sans" w:cs="Open Sans"/>
          <w:b/>
          <w:bCs/>
        </w:rPr>
        <w:t xml:space="preserve"> sera co-organisée par l’Agence universitaire de la Francophonie (AUF) et le Service de l’information et de la communication de Hô Chi Minh-Ville (SIC HCMV)</w:t>
      </w:r>
      <w:r w:rsidR="004705B9">
        <w:rPr>
          <w:rFonts w:eastAsia="Open Sans" w:cs="Open Sans"/>
          <w:b/>
          <w:bCs/>
        </w:rPr>
        <w:t xml:space="preserve"> le 4 novembre 2024, de 13:30 à 17:00, à l’hôtel Windsor Plaza</w:t>
      </w:r>
      <w:r w:rsidR="00570868">
        <w:rPr>
          <w:rFonts w:eastAsia="Open Sans" w:cs="Open Sans"/>
          <w:b/>
          <w:bCs/>
        </w:rPr>
        <w:t xml:space="preserve"> (1 Su Van Hanh, District 1</w:t>
      </w:r>
      <w:r w:rsidR="00863D29">
        <w:rPr>
          <w:rFonts w:eastAsia="Open Sans" w:cs="Open Sans"/>
          <w:b/>
          <w:bCs/>
        </w:rPr>
        <w:t>, HCMV</w:t>
      </w:r>
      <w:r w:rsidR="00570868">
        <w:rPr>
          <w:rFonts w:eastAsia="Open Sans" w:cs="Open Sans"/>
          <w:b/>
          <w:bCs/>
        </w:rPr>
        <w:t>)</w:t>
      </w:r>
      <w:r w:rsidR="00292EA4">
        <w:rPr>
          <w:rFonts w:eastAsia="Open Sans" w:cs="Open Sans"/>
          <w:b/>
          <w:bCs/>
        </w:rPr>
        <w:t>.</w:t>
      </w:r>
    </w:p>
    <w:p w14:paraId="75D5BAF4" w14:textId="0483BDAB" w:rsidR="00A84204" w:rsidRDefault="00677A2D" w:rsidP="0052796D">
      <w:pPr>
        <w:spacing w:after="0" w:line="360" w:lineRule="auto"/>
        <w:jc w:val="both"/>
        <w:rPr>
          <w:rFonts w:eastAsia="Open Sans" w:cs="Open Sans"/>
        </w:rPr>
      </w:pPr>
      <w:r w:rsidRPr="00677A2D">
        <w:rPr>
          <w:rFonts w:eastAsia="Open Sans" w:cs="Open Sans"/>
        </w:rPr>
        <w:t xml:space="preserve">Il </w:t>
      </w:r>
      <w:r>
        <w:rPr>
          <w:rFonts w:eastAsia="Open Sans" w:cs="Open Sans"/>
        </w:rPr>
        <w:t xml:space="preserve">s’agit </w:t>
      </w:r>
      <w:r w:rsidR="0052796D">
        <w:rPr>
          <w:rFonts w:eastAsia="Open Sans" w:cs="Open Sans"/>
        </w:rPr>
        <w:t>d</w:t>
      </w:r>
      <w:r w:rsidR="00466D73">
        <w:rPr>
          <w:rFonts w:eastAsia="Open Sans" w:cs="Open Sans"/>
        </w:rPr>
        <w:t>’</w:t>
      </w:r>
      <w:r w:rsidR="0052796D">
        <w:rPr>
          <w:rFonts w:eastAsia="Open Sans" w:cs="Open Sans"/>
        </w:rPr>
        <w:t xml:space="preserve">une </w:t>
      </w:r>
      <w:r w:rsidR="00E917F3">
        <w:rPr>
          <w:rFonts w:eastAsia="Open Sans" w:cs="Open Sans"/>
        </w:rPr>
        <w:t xml:space="preserve">action concrète </w:t>
      </w:r>
      <w:r w:rsidR="00202730" w:rsidRPr="00202730">
        <w:rPr>
          <w:rFonts w:eastAsia="Open Sans" w:cs="Open Sans"/>
        </w:rPr>
        <w:t>traduisant les engagements du Recteur le l’AUF</w:t>
      </w:r>
      <w:r w:rsidR="00202730">
        <w:rPr>
          <w:rFonts w:eastAsia="Open Sans" w:cs="Open Sans"/>
        </w:rPr>
        <w:t>, Pr Slim Khalbous,</w:t>
      </w:r>
      <w:r w:rsidR="00202730" w:rsidRPr="00202730">
        <w:rPr>
          <w:rFonts w:eastAsia="Open Sans" w:cs="Open Sans"/>
        </w:rPr>
        <w:t xml:space="preserve"> auprès du Président du Comité populaire de </w:t>
      </w:r>
      <w:r w:rsidR="0067732E">
        <w:rPr>
          <w:rFonts w:eastAsia="Open Sans" w:cs="Open Sans"/>
        </w:rPr>
        <w:t>HCMV</w:t>
      </w:r>
      <w:r w:rsidR="00202730" w:rsidRPr="00202730">
        <w:rPr>
          <w:rFonts w:eastAsia="Open Sans" w:cs="Open Sans"/>
        </w:rPr>
        <w:t>, Monsieur PHAN Van Mai, lors de la rencontre du 8 mars 2023, pendant sa première mission en Asie-Pacifique</w:t>
      </w:r>
      <w:r w:rsidR="00AF0F23" w:rsidRPr="00AF0F23">
        <w:rPr>
          <w:rFonts w:eastAsia="Open Sans" w:cs="Open Sans"/>
        </w:rPr>
        <w:t>.</w:t>
      </w:r>
      <w:r w:rsidR="007523AD">
        <w:rPr>
          <w:rFonts w:eastAsia="Open Sans" w:cs="Open Sans"/>
        </w:rPr>
        <w:t xml:space="preserve"> </w:t>
      </w:r>
      <w:r w:rsidR="00FA683C">
        <w:rPr>
          <w:rFonts w:eastAsia="Open Sans" w:cs="Open Sans"/>
        </w:rPr>
        <w:t xml:space="preserve">À son retour en deuxième mission au Vietnam, </w:t>
      </w:r>
      <w:r w:rsidR="001F6D2F">
        <w:rPr>
          <w:rFonts w:eastAsia="Open Sans" w:cs="Open Sans"/>
        </w:rPr>
        <w:t>le Pr Slim Kahlbous présidera cette conférence qui vise à :</w:t>
      </w:r>
    </w:p>
    <w:p w14:paraId="43F9B0FC" w14:textId="4ECB9087" w:rsidR="001F6D2F" w:rsidRPr="00667505" w:rsidRDefault="001F6D2F" w:rsidP="0066750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eastAsia="Open Sans" w:cs="Open Sans"/>
        </w:rPr>
      </w:pPr>
      <w:r w:rsidRPr="00667505">
        <w:rPr>
          <w:rFonts w:eastAsia="Open Sans" w:cs="Open Sans"/>
        </w:rPr>
        <w:t xml:space="preserve">Sensibiliser les autorités compétentes et parties prenantes vietnamiennes sur le rôle des établissements d’enseignement supérieur dans la formation des ressources humaines qualifiées répondant au besoin de l’initiative « Ville intelligente » de </w:t>
      </w:r>
      <w:r w:rsidR="00E1771E">
        <w:rPr>
          <w:rFonts w:eastAsia="Open Sans" w:cs="Open Sans"/>
        </w:rPr>
        <w:t>HCMV</w:t>
      </w:r>
      <w:r w:rsidRPr="00667505">
        <w:rPr>
          <w:rFonts w:eastAsia="Open Sans" w:cs="Open Sans"/>
        </w:rPr>
        <w:t xml:space="preserve"> ;</w:t>
      </w:r>
    </w:p>
    <w:p w14:paraId="5D07861E" w14:textId="0F45DC32" w:rsidR="001F6D2F" w:rsidRPr="00667505" w:rsidRDefault="001F6D2F" w:rsidP="0066750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eastAsia="Open Sans" w:cs="Open Sans"/>
        </w:rPr>
      </w:pPr>
      <w:r w:rsidRPr="00667505">
        <w:rPr>
          <w:rFonts w:eastAsia="Open Sans" w:cs="Open Sans"/>
        </w:rPr>
        <w:t>Valoriser les expériences de la Francophonie scientifique en termes de formation d’excellence dans les domaines des technologies avancées ;</w:t>
      </w:r>
    </w:p>
    <w:p w14:paraId="35FBABA7" w14:textId="061D2ECD" w:rsidR="001F6D2F" w:rsidRPr="00667505" w:rsidRDefault="001F6D2F" w:rsidP="0066750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eastAsia="Open Sans" w:cs="Open Sans"/>
        </w:rPr>
      </w:pPr>
      <w:r w:rsidRPr="00667505">
        <w:rPr>
          <w:rFonts w:eastAsia="Open Sans" w:cs="Open Sans"/>
        </w:rPr>
        <w:t>Poser les jalons d’un projet d’envergure dans le domaine de « ville intelligente », associant des partenaires stratégiques francophones et vietnamiens.</w:t>
      </w:r>
    </w:p>
    <w:p w14:paraId="6F4B3BAE" w14:textId="55BBD2B7" w:rsidR="000B7718" w:rsidRPr="000B7718" w:rsidRDefault="00670693" w:rsidP="000B7718">
      <w:pPr>
        <w:spacing w:after="0" w:line="360" w:lineRule="auto"/>
        <w:jc w:val="both"/>
        <w:rPr>
          <w:rFonts w:eastAsia="Open Sans" w:cs="Open Sans"/>
        </w:rPr>
      </w:pPr>
      <w:r>
        <w:rPr>
          <w:rFonts w:eastAsia="Open Sans" w:cs="Open Sans"/>
        </w:rPr>
        <w:t>Pour ce faire</w:t>
      </w:r>
      <w:r w:rsidR="005E78B2">
        <w:rPr>
          <w:rFonts w:eastAsia="Open Sans" w:cs="Open Sans"/>
        </w:rPr>
        <w:t xml:space="preserve">, </w:t>
      </w:r>
      <w:r>
        <w:rPr>
          <w:rFonts w:eastAsia="Open Sans" w:cs="Open Sans"/>
        </w:rPr>
        <w:t xml:space="preserve">l’AUF a mobilisé deux experts </w:t>
      </w:r>
      <w:r w:rsidR="00B61701">
        <w:rPr>
          <w:rFonts w:eastAsia="Open Sans" w:cs="Open Sans"/>
        </w:rPr>
        <w:t xml:space="preserve">internationaux qui ont des qualifications et expériences pertinentes pour venir en visite de terrain, à la rencontre de différents acteurs </w:t>
      </w:r>
      <w:r w:rsidR="006E1C28">
        <w:rPr>
          <w:rFonts w:eastAsia="Open Sans" w:cs="Open Sans"/>
        </w:rPr>
        <w:t xml:space="preserve">impliqués dans le </w:t>
      </w:r>
      <w:r w:rsidR="006E1C28" w:rsidRPr="006E1C28">
        <w:rPr>
          <w:rFonts w:eastAsia="Open Sans" w:cs="Open Sans"/>
        </w:rPr>
        <w:t xml:space="preserve">Schéma directeur « </w:t>
      </w:r>
      <w:r w:rsidR="00E1771E">
        <w:rPr>
          <w:rFonts w:eastAsia="Open Sans" w:cs="Open Sans"/>
        </w:rPr>
        <w:t>Ville intelligente</w:t>
      </w:r>
      <w:r w:rsidR="006E1C28" w:rsidRPr="006E1C28">
        <w:rPr>
          <w:rFonts w:eastAsia="Open Sans" w:cs="Open Sans"/>
        </w:rPr>
        <w:t xml:space="preserve"> »</w:t>
      </w:r>
      <w:r w:rsidR="00E1771E">
        <w:rPr>
          <w:rFonts w:eastAsia="Open Sans" w:cs="Open Sans"/>
        </w:rPr>
        <w:t xml:space="preserve"> de </w:t>
      </w:r>
      <w:r w:rsidR="00A73667">
        <w:rPr>
          <w:rFonts w:eastAsia="Open Sans" w:cs="Open Sans"/>
        </w:rPr>
        <w:t>HCMV, issus des admisni</w:t>
      </w:r>
      <w:r w:rsidR="00931A43">
        <w:rPr>
          <w:rFonts w:eastAsia="Open Sans" w:cs="Open Sans"/>
        </w:rPr>
        <w:t>s</w:t>
      </w:r>
      <w:r w:rsidR="00A73667">
        <w:rPr>
          <w:rFonts w:eastAsia="Open Sans" w:cs="Open Sans"/>
        </w:rPr>
        <w:t>trations publiques,</w:t>
      </w:r>
      <w:r w:rsidR="006E1C28">
        <w:rPr>
          <w:rFonts w:eastAsia="Open Sans" w:cs="Open Sans"/>
        </w:rPr>
        <w:t xml:space="preserve"> </w:t>
      </w:r>
      <w:r w:rsidR="00B61701">
        <w:rPr>
          <w:rFonts w:eastAsia="Open Sans" w:cs="Open Sans"/>
        </w:rPr>
        <w:t>universit</w:t>
      </w:r>
      <w:r w:rsidR="00A73667">
        <w:rPr>
          <w:rFonts w:eastAsia="Open Sans" w:cs="Open Sans"/>
        </w:rPr>
        <w:t>és et entreprises</w:t>
      </w:r>
      <w:r w:rsidR="009341D9">
        <w:rPr>
          <w:rFonts w:eastAsia="Open Sans" w:cs="Open Sans"/>
        </w:rPr>
        <w:t>. Un</w:t>
      </w:r>
      <w:r w:rsidR="00387E86">
        <w:rPr>
          <w:rFonts w:eastAsia="Open Sans" w:cs="Open Sans"/>
        </w:rPr>
        <w:t xml:space="preserve"> regards objectif de l’extérieur à l’issue de cette mission d’expertise a permis de reconnaître beaucoup de résultats </w:t>
      </w:r>
      <w:r w:rsidR="00387E86">
        <w:rPr>
          <w:rFonts w:eastAsia="Open Sans" w:cs="Open Sans"/>
        </w:rPr>
        <w:lastRenderedPageBreak/>
        <w:t>positifs obtenus</w:t>
      </w:r>
      <w:r w:rsidR="00265FC4">
        <w:rPr>
          <w:rFonts w:eastAsia="Open Sans" w:cs="Open Sans"/>
        </w:rPr>
        <w:t xml:space="preserve"> depuis la mise en place du </w:t>
      </w:r>
      <w:r w:rsidR="00265FC4" w:rsidRPr="006E1C28">
        <w:rPr>
          <w:rFonts w:eastAsia="Open Sans" w:cs="Open Sans"/>
        </w:rPr>
        <w:t xml:space="preserve">Schéma directeur « </w:t>
      </w:r>
      <w:r w:rsidR="00265FC4">
        <w:rPr>
          <w:rFonts w:eastAsia="Open Sans" w:cs="Open Sans"/>
        </w:rPr>
        <w:t>Ville intelligente</w:t>
      </w:r>
      <w:r w:rsidR="00265FC4" w:rsidRPr="006E1C28">
        <w:rPr>
          <w:rFonts w:eastAsia="Open Sans" w:cs="Open Sans"/>
        </w:rPr>
        <w:t xml:space="preserve"> »</w:t>
      </w:r>
      <w:r w:rsidR="00265FC4">
        <w:rPr>
          <w:rFonts w:eastAsia="Open Sans" w:cs="Open Sans"/>
        </w:rPr>
        <w:t xml:space="preserve"> en 2017</w:t>
      </w:r>
      <w:r w:rsidR="001D32B9">
        <w:rPr>
          <w:rFonts w:eastAsia="Open Sans" w:cs="Open Sans"/>
        </w:rPr>
        <w:t>, malgré d</w:t>
      </w:r>
      <w:r w:rsidR="00726E20">
        <w:rPr>
          <w:rFonts w:eastAsia="Open Sans" w:cs="Open Sans"/>
        </w:rPr>
        <w:t>’énormes</w:t>
      </w:r>
      <w:r w:rsidR="001D32B9">
        <w:rPr>
          <w:rFonts w:eastAsia="Open Sans" w:cs="Open Sans"/>
        </w:rPr>
        <w:t xml:space="preserve"> difficultés </w:t>
      </w:r>
      <w:r w:rsidR="00726E20">
        <w:rPr>
          <w:rFonts w:eastAsia="Open Sans" w:cs="Open Sans"/>
        </w:rPr>
        <w:t>rencontrées</w:t>
      </w:r>
      <w:r w:rsidR="000B7718" w:rsidRPr="000B7718">
        <w:rPr>
          <w:rFonts w:eastAsia="Open Sans" w:cs="Open Sans"/>
        </w:rPr>
        <w:t xml:space="preserve"> </w:t>
      </w:r>
      <w:r w:rsidR="00726E20">
        <w:rPr>
          <w:rFonts w:eastAsia="Open Sans" w:cs="Open Sans"/>
        </w:rPr>
        <w:t>durant la pandémie</w:t>
      </w:r>
      <w:r w:rsidR="000B7718" w:rsidRPr="000B7718">
        <w:rPr>
          <w:rFonts w:eastAsia="Open Sans" w:cs="Open Sans"/>
        </w:rPr>
        <w:t xml:space="preserve"> COVID-19.</w:t>
      </w:r>
    </w:p>
    <w:p w14:paraId="69E03409" w14:textId="77777777" w:rsidR="008352D1" w:rsidRDefault="008A50A2" w:rsidP="00C56BF5">
      <w:pPr>
        <w:spacing w:after="0" w:line="360" w:lineRule="auto"/>
        <w:jc w:val="both"/>
        <w:rPr>
          <w:rFonts w:eastAsia="Open Sans" w:cs="Open Sans"/>
        </w:rPr>
      </w:pPr>
      <w:r>
        <w:rPr>
          <w:rFonts w:eastAsia="Open Sans" w:cs="Open Sans"/>
        </w:rPr>
        <w:t xml:space="preserve">En même temps, plusieurs réflexions de la part de ces acteurs </w:t>
      </w:r>
      <w:r w:rsidR="00561A1B">
        <w:rPr>
          <w:rFonts w:eastAsia="Open Sans" w:cs="Open Sans"/>
        </w:rPr>
        <w:t>ont été partagées, permettant d’identifier les défis cruciaux à relever</w:t>
      </w:r>
      <w:r w:rsidR="00C814E1">
        <w:rPr>
          <w:rFonts w:eastAsia="Open Sans" w:cs="Open Sans"/>
        </w:rPr>
        <w:t>, afin d’</w:t>
      </w:r>
      <w:r w:rsidR="00AE45DF">
        <w:rPr>
          <w:rFonts w:eastAsia="Open Sans" w:cs="Open Sans"/>
        </w:rPr>
        <w:t>inciter</w:t>
      </w:r>
      <w:r w:rsidR="00C814E1">
        <w:rPr>
          <w:rFonts w:eastAsia="Open Sans" w:cs="Open Sans"/>
        </w:rPr>
        <w:t xml:space="preserve"> un </w:t>
      </w:r>
      <w:r w:rsidR="00AE45DF">
        <w:rPr>
          <w:rFonts w:eastAsia="Open Sans" w:cs="Open Sans"/>
        </w:rPr>
        <w:t>nouvel</w:t>
      </w:r>
      <w:r w:rsidR="00C814E1">
        <w:rPr>
          <w:rFonts w:eastAsia="Open Sans" w:cs="Open Sans"/>
        </w:rPr>
        <w:t xml:space="preserve"> élan</w:t>
      </w:r>
      <w:r w:rsidR="00AE45DF">
        <w:rPr>
          <w:rFonts w:eastAsia="Open Sans" w:cs="Open Sans"/>
        </w:rPr>
        <w:t xml:space="preserve"> des actions entreprises et mieux atteindre les objectifs stratégoques fixés par les autorités de la ville. </w:t>
      </w:r>
      <w:r w:rsidR="005E76EA">
        <w:rPr>
          <w:rFonts w:eastAsia="Open Sans" w:cs="Open Sans"/>
        </w:rPr>
        <w:t xml:space="preserve">Les recommandations des experts, formulées dans un rapport détaillé de 22 pages, </w:t>
      </w:r>
      <w:r w:rsidR="00BC0D95">
        <w:rPr>
          <w:rFonts w:eastAsia="Open Sans" w:cs="Open Sans"/>
        </w:rPr>
        <w:t>permettront à la Francophonie scientifique</w:t>
      </w:r>
      <w:r w:rsidR="006B0C7A">
        <w:rPr>
          <w:rFonts w:eastAsia="Open Sans" w:cs="Open Sans"/>
        </w:rPr>
        <w:t>, ensemble avec tous ses partenaires</w:t>
      </w:r>
      <w:r w:rsidR="002E4277">
        <w:rPr>
          <w:rFonts w:eastAsia="Open Sans" w:cs="Open Sans"/>
        </w:rPr>
        <w:t xml:space="preserve"> venant des administrations publiques, des universités</w:t>
      </w:r>
      <w:r w:rsidR="005F3D44">
        <w:rPr>
          <w:rFonts w:eastAsia="Open Sans" w:cs="Open Sans"/>
        </w:rPr>
        <w:t>,</w:t>
      </w:r>
      <w:r w:rsidR="002E4277">
        <w:rPr>
          <w:rFonts w:eastAsia="Open Sans" w:cs="Open Sans"/>
        </w:rPr>
        <w:t xml:space="preserve"> des entreprises</w:t>
      </w:r>
      <w:r w:rsidR="005F3D44">
        <w:rPr>
          <w:rFonts w:eastAsia="Open Sans" w:cs="Open Sans"/>
        </w:rPr>
        <w:t xml:space="preserve"> et des organisations de coopération</w:t>
      </w:r>
      <w:r w:rsidR="002E4277">
        <w:rPr>
          <w:rFonts w:eastAsia="Open Sans" w:cs="Open Sans"/>
        </w:rPr>
        <w:t>,</w:t>
      </w:r>
      <w:r w:rsidR="00BC0D95">
        <w:rPr>
          <w:rFonts w:eastAsia="Open Sans" w:cs="Open Sans"/>
        </w:rPr>
        <w:t xml:space="preserve"> </w:t>
      </w:r>
      <w:r w:rsidR="00D46C42">
        <w:rPr>
          <w:rFonts w:eastAsia="Open Sans" w:cs="Open Sans"/>
        </w:rPr>
        <w:t>de trouver des pistes appropriées</w:t>
      </w:r>
      <w:r w:rsidR="003450D4">
        <w:rPr>
          <w:rFonts w:eastAsia="Open Sans" w:cs="Open Sans"/>
        </w:rPr>
        <w:t xml:space="preserve"> d’apporter sa part de contribution à la phase suivante de ce </w:t>
      </w:r>
      <w:r w:rsidR="003450D4" w:rsidRPr="006E1C28">
        <w:rPr>
          <w:rFonts w:eastAsia="Open Sans" w:cs="Open Sans"/>
        </w:rPr>
        <w:t xml:space="preserve">Schéma directeur « </w:t>
      </w:r>
      <w:r w:rsidR="003450D4">
        <w:rPr>
          <w:rFonts w:eastAsia="Open Sans" w:cs="Open Sans"/>
        </w:rPr>
        <w:t>Ville intelligente</w:t>
      </w:r>
      <w:r w:rsidR="003450D4" w:rsidRPr="006E1C28">
        <w:rPr>
          <w:rFonts w:eastAsia="Open Sans" w:cs="Open Sans"/>
        </w:rPr>
        <w:t xml:space="preserve"> »</w:t>
      </w:r>
      <w:r w:rsidR="003450D4">
        <w:rPr>
          <w:rFonts w:eastAsia="Open Sans" w:cs="Open Sans"/>
        </w:rPr>
        <w:t xml:space="preserve"> </w:t>
      </w:r>
      <w:r w:rsidR="009435F0">
        <w:rPr>
          <w:rFonts w:eastAsia="Open Sans" w:cs="Open Sans"/>
        </w:rPr>
        <w:t>initialement conçu jusqu’à 2025</w:t>
      </w:r>
      <w:r w:rsidR="003450D4">
        <w:rPr>
          <w:rFonts w:eastAsia="Open Sans" w:cs="Open Sans"/>
        </w:rPr>
        <w:t>.</w:t>
      </w:r>
      <w:r w:rsidR="00A26174">
        <w:rPr>
          <w:rFonts w:eastAsia="Open Sans" w:cs="Open Sans"/>
        </w:rPr>
        <w:t xml:space="preserve"> </w:t>
      </w:r>
    </w:p>
    <w:p w14:paraId="117EE767" w14:textId="6FEE9C3E" w:rsidR="00667505" w:rsidRDefault="00A26174" w:rsidP="00C56BF5">
      <w:pPr>
        <w:spacing w:after="0" w:line="360" w:lineRule="auto"/>
        <w:jc w:val="both"/>
        <w:rPr>
          <w:rFonts w:eastAsia="Open Sans" w:cs="Open Sans"/>
        </w:rPr>
      </w:pPr>
      <w:r>
        <w:rPr>
          <w:rFonts w:eastAsia="Open Sans" w:cs="Open Sans"/>
        </w:rPr>
        <w:t xml:space="preserve">En particulier, sur la base </w:t>
      </w:r>
      <w:r w:rsidR="00E77970">
        <w:rPr>
          <w:rFonts w:eastAsia="Open Sans" w:cs="Open Sans"/>
        </w:rPr>
        <w:t>du</w:t>
      </w:r>
      <w:r>
        <w:rPr>
          <w:rFonts w:eastAsia="Open Sans" w:cs="Open Sans"/>
        </w:rPr>
        <w:t xml:space="preserve"> </w:t>
      </w:r>
      <w:r w:rsidR="00E77970" w:rsidRPr="00E77970">
        <w:rPr>
          <w:rFonts w:eastAsia="Open Sans" w:cs="Open Sans"/>
        </w:rPr>
        <w:t>« Manifeste de la diplomatie scientifique francophone »</w:t>
      </w:r>
      <w:r w:rsidR="00C56BF5" w:rsidRPr="00C56BF5">
        <w:t xml:space="preserve"> </w:t>
      </w:r>
      <w:r w:rsidR="00C56BF5" w:rsidRPr="00C56BF5">
        <w:rPr>
          <w:rFonts w:eastAsia="Open Sans" w:cs="Open Sans"/>
        </w:rPr>
        <w:t>dopté par la Conférence des ministres</w:t>
      </w:r>
      <w:r w:rsidR="00C56BF5">
        <w:rPr>
          <w:rFonts w:eastAsia="Open Sans" w:cs="Open Sans"/>
        </w:rPr>
        <w:t xml:space="preserve"> </w:t>
      </w:r>
      <w:r w:rsidR="00C56BF5" w:rsidRPr="00C56BF5">
        <w:rPr>
          <w:rFonts w:eastAsia="Open Sans" w:cs="Open Sans"/>
        </w:rPr>
        <w:t>en charge de l’enseignement supérieur et de la recherche</w:t>
      </w:r>
      <w:r w:rsidR="00C56BF5">
        <w:rPr>
          <w:rFonts w:eastAsia="Open Sans" w:cs="Open Sans"/>
        </w:rPr>
        <w:t xml:space="preserve"> </w:t>
      </w:r>
      <w:r w:rsidR="00C56BF5" w:rsidRPr="00C56BF5">
        <w:rPr>
          <w:rFonts w:eastAsia="Open Sans" w:cs="Open Sans"/>
        </w:rPr>
        <w:t>dans l’espace scientifique francophone</w:t>
      </w:r>
      <w:r w:rsidR="00C56BF5">
        <w:rPr>
          <w:rFonts w:eastAsia="Open Sans" w:cs="Open Sans"/>
        </w:rPr>
        <w:t>,</w:t>
      </w:r>
      <w:r w:rsidR="00C56BF5" w:rsidRPr="00C56BF5">
        <w:rPr>
          <w:rFonts w:eastAsia="Open Sans" w:cs="Open Sans"/>
        </w:rPr>
        <w:t xml:space="preserve"> au Caire le 26 </w:t>
      </w:r>
      <w:r w:rsidR="0028663B">
        <w:rPr>
          <w:rFonts w:eastAsia="Open Sans" w:cs="Open Sans"/>
        </w:rPr>
        <w:t>o</w:t>
      </w:r>
      <w:r w:rsidR="00C56BF5" w:rsidRPr="00C56BF5">
        <w:rPr>
          <w:rFonts w:eastAsia="Open Sans" w:cs="Open Sans"/>
        </w:rPr>
        <w:t>ctobre 2022</w:t>
      </w:r>
      <w:r w:rsidR="00F433CE">
        <w:rPr>
          <w:rFonts w:eastAsia="Open Sans" w:cs="Open Sans"/>
        </w:rPr>
        <w:t xml:space="preserve">, et du </w:t>
      </w:r>
      <w:r w:rsidR="00FB405C">
        <w:rPr>
          <w:rFonts w:eastAsia="Open Sans" w:cs="Open Sans"/>
        </w:rPr>
        <w:t>« Programme international de mobilité et d’employabilité francophone »</w:t>
      </w:r>
      <w:r w:rsidR="000B7718" w:rsidRPr="000B7718">
        <w:rPr>
          <w:rFonts w:eastAsia="Open Sans" w:cs="Open Sans"/>
        </w:rPr>
        <w:t xml:space="preserve"> (PIMEF)</w:t>
      </w:r>
      <w:r w:rsidR="006D00DB">
        <w:rPr>
          <w:rFonts w:eastAsia="Open Sans" w:cs="Open Sans"/>
        </w:rPr>
        <w:t xml:space="preserve"> que le Sommet de la Francophonie, en octobre 2024 à</w:t>
      </w:r>
      <w:r w:rsidR="000B7718" w:rsidRPr="000B7718">
        <w:rPr>
          <w:rFonts w:eastAsia="Open Sans" w:cs="Open Sans"/>
        </w:rPr>
        <w:t xml:space="preserve"> Villers-Cotterêts</w:t>
      </w:r>
      <w:r w:rsidR="006D00DB">
        <w:rPr>
          <w:rFonts w:eastAsia="Open Sans" w:cs="Open Sans"/>
        </w:rPr>
        <w:t>, a confié à l’AUF</w:t>
      </w:r>
      <w:r w:rsidR="005B4B9E">
        <w:rPr>
          <w:rFonts w:eastAsia="Open Sans" w:cs="Open Sans"/>
        </w:rPr>
        <w:t xml:space="preserve"> le rôle d’organiser de l’expémentation à partir de 2025</w:t>
      </w:r>
      <w:r w:rsidR="000B7718" w:rsidRPr="000B7718">
        <w:rPr>
          <w:rFonts w:eastAsia="Open Sans" w:cs="Open Sans"/>
        </w:rPr>
        <w:t>.</w:t>
      </w:r>
      <w:r w:rsidR="008352D1">
        <w:rPr>
          <w:rFonts w:eastAsia="Open Sans" w:cs="Open Sans"/>
        </w:rPr>
        <w:t xml:space="preserve"> </w:t>
      </w:r>
      <w:r w:rsidR="00563826">
        <w:rPr>
          <w:rFonts w:eastAsia="Open Sans" w:cs="Open Sans"/>
        </w:rPr>
        <w:t>Le Vietnam, avec la présence</w:t>
      </w:r>
      <w:r w:rsidR="0006543D">
        <w:rPr>
          <w:rFonts w:eastAsia="Open Sans" w:cs="Open Sans"/>
        </w:rPr>
        <w:t>, pour la première fois dans l’histoire,</w:t>
      </w:r>
      <w:r w:rsidR="00563826">
        <w:rPr>
          <w:rFonts w:eastAsia="Open Sans" w:cs="Open Sans"/>
        </w:rPr>
        <w:t xml:space="preserve"> du plus haut niveau dans ce dernier Sommet, </w:t>
      </w:r>
      <w:r w:rsidR="00493549">
        <w:rPr>
          <w:rFonts w:eastAsia="Open Sans" w:cs="Open Sans"/>
        </w:rPr>
        <w:t xml:space="preserve">fera partie des premiers pays </w:t>
      </w:r>
      <w:r w:rsidR="0032219B">
        <w:rPr>
          <w:rFonts w:eastAsia="Open Sans" w:cs="Open Sans"/>
        </w:rPr>
        <w:t xml:space="preserve">participant à cette expérimentation prometteuse, au bénéfice </w:t>
      </w:r>
      <w:r w:rsidR="005555DA">
        <w:rPr>
          <w:rFonts w:eastAsia="Open Sans" w:cs="Open Sans"/>
        </w:rPr>
        <w:t>de la professionnalisation, de l’employabilité et du développement de la citoyenneté mondiale de jeunes générations vietnamiens.</w:t>
      </w:r>
    </w:p>
    <w:p w14:paraId="10E974F7" w14:textId="5CBF619B" w:rsidR="00677A2D" w:rsidRPr="00677A2D" w:rsidRDefault="00677A2D" w:rsidP="6586CCA5">
      <w:pPr>
        <w:spacing w:after="0" w:line="360" w:lineRule="auto"/>
        <w:jc w:val="both"/>
        <w:rPr>
          <w:rFonts w:eastAsia="Open Sans" w:cs="Open Sans"/>
        </w:rPr>
      </w:pPr>
    </w:p>
    <w:p w14:paraId="0D1E7DFE" w14:textId="7EB34CD0" w:rsidR="6611125E" w:rsidRDefault="40B92420" w:rsidP="6586CCA5">
      <w:pPr>
        <w:spacing w:after="0" w:line="360" w:lineRule="auto"/>
        <w:jc w:val="both"/>
        <w:rPr>
          <w:rFonts w:eastAsia="Open Sans" w:cs="Open Sans"/>
          <w:b/>
          <w:bCs/>
          <w:color w:val="820000"/>
          <w:u w:val="single"/>
        </w:rPr>
      </w:pPr>
      <w:r w:rsidRPr="6586CCA5">
        <w:rPr>
          <w:rFonts w:eastAsia="Open Sans" w:cs="Open Sans"/>
          <w:b/>
          <w:bCs/>
          <w:color w:val="820000"/>
          <w:u w:val="single"/>
        </w:rPr>
        <w:t>À propos de l’AUF</w:t>
      </w:r>
      <w:r w:rsidRPr="6586CCA5">
        <w:rPr>
          <w:rFonts w:eastAsia="Open Sans" w:cs="Open Sans"/>
          <w:b/>
          <w:bCs/>
          <w:color w:val="820000"/>
        </w:rPr>
        <w:t xml:space="preserve"> </w:t>
      </w:r>
      <w:r w:rsidRPr="6586CCA5">
        <w:rPr>
          <w:rFonts w:eastAsia="Open Sans" w:cs="Open Sans"/>
          <w:b/>
          <w:bCs/>
          <w:i/>
          <w:iCs/>
          <w:color w:val="0070C0"/>
        </w:rPr>
        <w:t>(</w:t>
      </w:r>
      <w:hyperlink r:id="rId10">
        <w:r w:rsidRPr="6586CCA5">
          <w:rPr>
            <w:rStyle w:val="Hyperlink"/>
            <w:rFonts w:eastAsia="Open Sans" w:cs="Open Sans"/>
            <w:b/>
            <w:bCs/>
            <w:i/>
            <w:iCs/>
          </w:rPr>
          <w:t>www.auf.org</w:t>
        </w:r>
      </w:hyperlink>
      <w:r w:rsidRPr="6586CCA5">
        <w:rPr>
          <w:rFonts w:eastAsia="Open Sans" w:cs="Open Sans"/>
          <w:b/>
          <w:bCs/>
          <w:i/>
          <w:iCs/>
          <w:color w:val="0070C0"/>
        </w:rPr>
        <w:t>)</w:t>
      </w:r>
    </w:p>
    <w:p w14:paraId="1AEB234E" w14:textId="250E7638" w:rsidR="46F623C4" w:rsidRDefault="3B4DFDB9" w:rsidP="66A040DB">
      <w:pPr>
        <w:jc w:val="both"/>
        <w:rPr>
          <w:rFonts w:ascii="Aptos" w:eastAsia="Aptos" w:hAnsi="Aptos" w:cs="Aptos"/>
          <w:sz w:val="22"/>
          <w:szCs w:val="22"/>
        </w:rPr>
      </w:pPr>
      <w:r w:rsidRPr="0A8C9141">
        <w:rPr>
          <w:rFonts w:ascii="Aptos" w:eastAsia="Aptos" w:hAnsi="Aptos" w:cs="Aptos"/>
          <w:sz w:val="22"/>
          <w:szCs w:val="22"/>
        </w:rPr>
        <w:t>L’</w:t>
      </w:r>
      <w:r w:rsidRPr="0A8C9141">
        <w:rPr>
          <w:rFonts w:ascii="Aptos" w:eastAsia="Aptos" w:hAnsi="Aptos" w:cs="Aptos"/>
          <w:b/>
          <w:bCs/>
          <w:sz w:val="22"/>
          <w:szCs w:val="22"/>
        </w:rPr>
        <w:t>Agence Universitaire de la Francophonie (AUF), créée il y a 60 ans</w:t>
      </w:r>
      <w:r w:rsidRPr="0A8C9141">
        <w:rPr>
          <w:rFonts w:ascii="Aptos" w:eastAsia="Aptos" w:hAnsi="Aptos" w:cs="Aptos"/>
          <w:sz w:val="22"/>
          <w:szCs w:val="22"/>
        </w:rPr>
        <w:t xml:space="preserve">, est aujourd’hui le </w:t>
      </w:r>
      <w:r w:rsidRPr="0A8C9141">
        <w:rPr>
          <w:rFonts w:ascii="Aptos" w:eastAsia="Aptos" w:hAnsi="Aptos" w:cs="Aptos"/>
          <w:b/>
          <w:bCs/>
          <w:sz w:val="22"/>
          <w:szCs w:val="22"/>
        </w:rPr>
        <w:t>premier réseau universitaire au monde</w:t>
      </w:r>
      <w:r w:rsidRPr="0A8C9141">
        <w:rPr>
          <w:rFonts w:ascii="Aptos" w:eastAsia="Aptos" w:hAnsi="Aptos" w:cs="Aptos"/>
          <w:sz w:val="22"/>
          <w:szCs w:val="22"/>
        </w:rPr>
        <w:t xml:space="preserve"> avec </w:t>
      </w:r>
      <w:r w:rsidRPr="0A8C9141">
        <w:rPr>
          <w:rFonts w:ascii="Aptos" w:eastAsia="Aptos" w:hAnsi="Aptos" w:cs="Aptos"/>
          <w:b/>
          <w:bCs/>
          <w:sz w:val="22"/>
          <w:szCs w:val="22"/>
        </w:rPr>
        <w:t>plus de 1000 membres</w:t>
      </w:r>
      <w:r w:rsidRPr="0A8C9141">
        <w:rPr>
          <w:rFonts w:ascii="Aptos" w:eastAsia="Aptos" w:hAnsi="Aptos" w:cs="Aptos"/>
          <w:sz w:val="22"/>
          <w:szCs w:val="22"/>
        </w:rPr>
        <w:t xml:space="preserve"> : universités, grandes écoles et centres de recherche dans près de </w:t>
      </w:r>
      <w:r w:rsidRPr="002B3F45">
        <w:rPr>
          <w:rFonts w:ascii="Aptos" w:eastAsia="Aptos" w:hAnsi="Aptos" w:cs="Aptos"/>
          <w:b/>
          <w:bCs/>
          <w:sz w:val="22"/>
          <w:szCs w:val="22"/>
        </w:rPr>
        <w:t>1</w:t>
      </w:r>
      <w:r w:rsidR="224111DD" w:rsidRPr="002B3F45">
        <w:rPr>
          <w:rFonts w:ascii="Aptos" w:eastAsia="Aptos" w:hAnsi="Aptos" w:cs="Aptos"/>
          <w:b/>
          <w:bCs/>
          <w:sz w:val="22"/>
          <w:szCs w:val="22"/>
        </w:rPr>
        <w:t>20</w:t>
      </w:r>
      <w:r w:rsidRPr="002B3F45">
        <w:rPr>
          <w:rFonts w:ascii="Aptos" w:eastAsia="Aptos" w:hAnsi="Aptos" w:cs="Aptos"/>
          <w:b/>
          <w:bCs/>
          <w:sz w:val="22"/>
          <w:szCs w:val="22"/>
        </w:rPr>
        <w:t xml:space="preserve"> pays</w:t>
      </w:r>
      <w:r w:rsidRPr="0A8C9141">
        <w:rPr>
          <w:rFonts w:ascii="Aptos" w:eastAsia="Aptos" w:hAnsi="Aptos" w:cs="Aptos"/>
          <w:sz w:val="22"/>
          <w:szCs w:val="22"/>
        </w:rPr>
        <w:t>.</w:t>
      </w:r>
    </w:p>
    <w:p w14:paraId="79522F66" w14:textId="21D53304" w:rsidR="7BA17825" w:rsidRDefault="3A902AC0" w:rsidP="66A040DB">
      <w:pPr>
        <w:spacing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A8C9141">
        <w:rPr>
          <w:rFonts w:ascii="Aptos" w:eastAsia="Aptos" w:hAnsi="Aptos" w:cs="Aptos"/>
          <w:sz w:val="22"/>
          <w:szCs w:val="22"/>
        </w:rPr>
        <w:t>L’AUF agit pour une francophonie universitaire engagée dans le développement économique, social et culturel des sociétés.</w:t>
      </w:r>
    </w:p>
    <w:p w14:paraId="5424C7A1" w14:textId="7F58BD32" w:rsidR="7BA17825" w:rsidRDefault="20073E66" w:rsidP="66A040DB">
      <w:pPr>
        <w:spacing w:line="240" w:lineRule="auto"/>
        <w:jc w:val="both"/>
        <w:rPr>
          <w:rFonts w:ascii="Aptos" w:eastAsia="Aptos" w:hAnsi="Aptos" w:cs="Aptos"/>
          <w:sz w:val="22"/>
          <w:szCs w:val="22"/>
        </w:rPr>
      </w:pPr>
      <w:r w:rsidRPr="66A040DB">
        <w:rPr>
          <w:rFonts w:ascii="Aptos" w:eastAsia="Aptos" w:hAnsi="Aptos" w:cs="Aptos"/>
          <w:sz w:val="22"/>
          <w:szCs w:val="22"/>
        </w:rPr>
        <w:t>Elle intervient dans dix régions du monde dont l’Asie-Pacifique.</w:t>
      </w:r>
    </w:p>
    <w:p w14:paraId="756B1336" w14:textId="7E7FCDCD" w:rsidR="7BA17825" w:rsidRDefault="0759D8A2" w:rsidP="66A040DB">
      <w:pPr>
        <w:spacing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A8C9141">
        <w:rPr>
          <w:rFonts w:ascii="Aptos" w:eastAsia="Aptos" w:hAnsi="Aptos" w:cs="Aptos"/>
          <w:sz w:val="22"/>
          <w:szCs w:val="22"/>
        </w:rPr>
        <w:t>Installée à Hanoï, depuis 1993, la direction régionale Asie-Pacifique anime un réseau de</w:t>
      </w:r>
      <w:r w:rsidR="75EFA0BA" w:rsidRPr="0A8C9141">
        <w:rPr>
          <w:rFonts w:ascii="Aptos" w:eastAsia="Aptos" w:hAnsi="Aptos" w:cs="Aptos"/>
          <w:sz w:val="22"/>
          <w:szCs w:val="22"/>
        </w:rPr>
        <w:t xml:space="preserve"> </w:t>
      </w:r>
      <w:r w:rsidR="75EFA0BA" w:rsidRPr="0A8C9141">
        <w:rPr>
          <w:rFonts w:ascii="Aptos" w:eastAsia="Aptos" w:hAnsi="Aptos" w:cs="Aptos"/>
          <w:b/>
          <w:bCs/>
          <w:sz w:val="22"/>
          <w:szCs w:val="22"/>
        </w:rPr>
        <w:t>86</w:t>
      </w:r>
      <w:r w:rsidR="75EFA0BA" w:rsidRPr="0A8C9141">
        <w:rPr>
          <w:rFonts w:ascii="Aptos" w:eastAsia="Aptos" w:hAnsi="Aptos" w:cs="Aptos"/>
          <w:sz w:val="22"/>
          <w:szCs w:val="22"/>
        </w:rPr>
        <w:t xml:space="preserve"> établissements membres (universités, grandes écoles et centres de recherches), répartis dans </w:t>
      </w:r>
      <w:r w:rsidR="75EFA0BA" w:rsidRPr="0A8C9141">
        <w:rPr>
          <w:rFonts w:ascii="Aptos" w:eastAsia="Aptos" w:hAnsi="Aptos" w:cs="Aptos"/>
          <w:b/>
          <w:bCs/>
          <w:sz w:val="22"/>
          <w:szCs w:val="22"/>
        </w:rPr>
        <w:t>1</w:t>
      </w:r>
      <w:r w:rsidR="50233931" w:rsidRPr="0A8C9141">
        <w:rPr>
          <w:rFonts w:ascii="Aptos" w:eastAsia="Aptos" w:hAnsi="Aptos" w:cs="Aptos"/>
          <w:b/>
          <w:bCs/>
          <w:sz w:val="22"/>
          <w:szCs w:val="22"/>
        </w:rPr>
        <w:t>2</w:t>
      </w:r>
      <w:r w:rsidR="75EFA0BA" w:rsidRPr="0A8C9141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75EFA0BA" w:rsidRPr="0A8C9141">
        <w:rPr>
          <w:rFonts w:ascii="Aptos" w:eastAsia="Aptos" w:hAnsi="Aptos" w:cs="Aptos"/>
          <w:sz w:val="22"/>
          <w:szCs w:val="22"/>
        </w:rPr>
        <w:t>pays : Cambodge, Chine, Corée du Sud, Inde, Fidji, Laos, Mongolie, Myanmar, Nouvelle-Calédonie, Polynésie Française, Thaïlande, Vanuatu et Vietnam.</w:t>
      </w:r>
    </w:p>
    <w:p w14:paraId="43464060" w14:textId="3069B242" w:rsidR="7BA17825" w:rsidRDefault="7F624355" w:rsidP="66A040DB">
      <w:pPr>
        <w:spacing w:line="240" w:lineRule="auto"/>
        <w:jc w:val="both"/>
        <w:rPr>
          <w:rFonts w:ascii="Aptos" w:eastAsia="Aptos" w:hAnsi="Aptos" w:cs="Aptos"/>
          <w:sz w:val="22"/>
          <w:szCs w:val="22"/>
        </w:rPr>
      </w:pPr>
      <w:r w:rsidRPr="6586CCA5">
        <w:rPr>
          <w:rFonts w:ascii="Aptos" w:eastAsia="Aptos" w:hAnsi="Aptos" w:cs="Aptos"/>
          <w:sz w:val="22"/>
          <w:szCs w:val="22"/>
        </w:rPr>
        <w:lastRenderedPageBreak/>
        <w:t xml:space="preserve">Dans cette région l’AUF dispose de huit implantations dans quatre pays : la direction régionale Asie-Pacifique au Vietnam ; </w:t>
      </w:r>
      <w:r w:rsidRPr="6586CCA5">
        <w:rPr>
          <w:rFonts w:ascii="Aptos" w:eastAsia="Aptos" w:hAnsi="Aptos" w:cs="Aptos"/>
          <w:b/>
          <w:bCs/>
          <w:sz w:val="22"/>
          <w:szCs w:val="22"/>
        </w:rPr>
        <w:t>trois</w:t>
      </w:r>
      <w:r w:rsidRPr="6586CCA5">
        <w:rPr>
          <w:rFonts w:ascii="Aptos" w:eastAsia="Aptos" w:hAnsi="Aptos" w:cs="Aptos"/>
          <w:sz w:val="22"/>
          <w:szCs w:val="22"/>
        </w:rPr>
        <w:t xml:space="preserve"> Bureaux nationaux au Cambodge, Laos et au Vanuatu ; </w:t>
      </w:r>
      <w:r w:rsidRPr="6586CCA5">
        <w:rPr>
          <w:rFonts w:ascii="Aptos" w:eastAsia="Aptos" w:hAnsi="Aptos" w:cs="Aptos"/>
          <w:b/>
          <w:bCs/>
          <w:sz w:val="22"/>
          <w:szCs w:val="22"/>
        </w:rPr>
        <w:t>cinq</w:t>
      </w:r>
      <w:r w:rsidRPr="6586CCA5">
        <w:rPr>
          <w:rFonts w:ascii="Aptos" w:eastAsia="Aptos" w:hAnsi="Aptos" w:cs="Aptos"/>
          <w:sz w:val="22"/>
          <w:szCs w:val="22"/>
        </w:rPr>
        <w:t xml:space="preserve"> Campus Numériques Francophones (CNF) au Cambodge, au Laos, au Vietnam et au Vanuatu. A cela s’ajoutent </w:t>
      </w:r>
      <w:r w:rsidRPr="6586CCA5">
        <w:rPr>
          <w:rFonts w:ascii="Aptos" w:eastAsia="Aptos" w:hAnsi="Aptos" w:cs="Aptos"/>
          <w:b/>
          <w:bCs/>
          <w:sz w:val="22"/>
          <w:szCs w:val="22"/>
        </w:rPr>
        <w:t>10</w:t>
      </w:r>
      <w:r w:rsidRPr="6586CCA5">
        <w:rPr>
          <w:rFonts w:ascii="Aptos" w:eastAsia="Aptos" w:hAnsi="Aptos" w:cs="Aptos"/>
          <w:sz w:val="22"/>
          <w:szCs w:val="22"/>
        </w:rPr>
        <w:t xml:space="preserve"> Centres d'employabilité francophone (CEF) et </w:t>
      </w:r>
      <w:r w:rsidRPr="6586CCA5">
        <w:rPr>
          <w:rFonts w:ascii="Aptos" w:eastAsia="Aptos" w:hAnsi="Aptos" w:cs="Aptos"/>
          <w:b/>
          <w:bCs/>
          <w:sz w:val="22"/>
          <w:szCs w:val="22"/>
        </w:rPr>
        <w:t>10</w:t>
      </w:r>
      <w:r w:rsidRPr="6586CCA5">
        <w:rPr>
          <w:rFonts w:ascii="Aptos" w:eastAsia="Aptos" w:hAnsi="Aptos" w:cs="Aptos"/>
          <w:sz w:val="22"/>
          <w:szCs w:val="22"/>
        </w:rPr>
        <w:t xml:space="preserve"> Espaces Numériques Francophones partenaires (ENFp) au Vanuatu.</w:t>
      </w:r>
    </w:p>
    <w:p w14:paraId="61BA62FD" w14:textId="77777777" w:rsidR="00A52F9D" w:rsidRDefault="00A52F9D" w:rsidP="66A040DB">
      <w:pPr>
        <w:spacing w:line="240" w:lineRule="auto"/>
        <w:jc w:val="both"/>
        <w:rPr>
          <w:rFonts w:ascii="Aptos" w:eastAsia="Aptos" w:hAnsi="Aptos" w:cs="Aptos"/>
          <w:sz w:val="22"/>
          <w:szCs w:val="22"/>
        </w:rPr>
      </w:pPr>
    </w:p>
    <w:p w14:paraId="2528A2D0" w14:textId="77777777" w:rsidR="00A52F9D" w:rsidRDefault="00A52F9D" w:rsidP="00A52F9D">
      <w:pPr>
        <w:spacing w:line="240" w:lineRule="auto"/>
        <w:jc w:val="both"/>
      </w:pPr>
      <w:r>
        <w:t>_____________</w:t>
      </w:r>
    </w:p>
    <w:p w14:paraId="3FB8AAB3" w14:textId="5F059AF7" w:rsidR="1F88F5C9" w:rsidRDefault="1F88F5C9" w:rsidP="37D759E2">
      <w:pPr>
        <w:spacing w:line="240" w:lineRule="auto"/>
        <w:jc w:val="both"/>
        <w:rPr>
          <w:b/>
          <w:bCs/>
          <w:u w:val="single"/>
        </w:rPr>
      </w:pPr>
      <w:r w:rsidRPr="37D759E2">
        <w:rPr>
          <w:b/>
          <w:bCs/>
          <w:u w:val="single"/>
        </w:rPr>
        <w:t>Contact :</w:t>
      </w:r>
    </w:p>
    <w:p w14:paraId="2A52BFF1" w14:textId="3252FB45" w:rsidR="1F88F5C9" w:rsidRDefault="1F88F5C9" w:rsidP="37D759E2">
      <w:pPr>
        <w:spacing w:line="240" w:lineRule="auto"/>
        <w:jc w:val="both"/>
        <w:rPr>
          <w:b/>
          <w:bCs/>
          <w:color w:val="C00000"/>
        </w:rPr>
      </w:pPr>
      <w:r w:rsidRPr="37D759E2">
        <w:rPr>
          <w:b/>
          <w:bCs/>
          <w:color w:val="C00000"/>
        </w:rPr>
        <w:t>Mme NGUYEN Thi Thanh Hien</w:t>
      </w:r>
    </w:p>
    <w:p w14:paraId="5D6E43DA" w14:textId="5D7A20DA" w:rsidR="1F88F5C9" w:rsidRDefault="1F88F5C9" w:rsidP="37D759E2">
      <w:pPr>
        <w:spacing w:line="240" w:lineRule="auto"/>
        <w:jc w:val="both"/>
      </w:pPr>
      <w:r>
        <w:t>Chargée de Communication</w:t>
      </w:r>
    </w:p>
    <w:p w14:paraId="02534C75" w14:textId="7ADC214A" w:rsidR="1F88F5C9" w:rsidRDefault="1F88F5C9" w:rsidP="37D759E2">
      <w:pPr>
        <w:spacing w:line="240" w:lineRule="auto"/>
        <w:jc w:val="both"/>
      </w:pPr>
      <w:r>
        <w:t>AUF – Asie-Pacifique</w:t>
      </w:r>
    </w:p>
    <w:p w14:paraId="71918623" w14:textId="13AE07BC" w:rsidR="1F88F5C9" w:rsidRDefault="1F88F5C9" w:rsidP="37D759E2">
      <w:pPr>
        <w:spacing w:line="240" w:lineRule="auto"/>
        <w:jc w:val="both"/>
        <w:rPr>
          <w:rFonts w:eastAsia="Open Sans" w:cs="Open Sans"/>
        </w:rPr>
      </w:pPr>
      <w:r w:rsidRPr="37D759E2">
        <w:rPr>
          <w:rFonts w:eastAsia="Open Sans" w:cs="Open Sans"/>
        </w:rPr>
        <w:t xml:space="preserve">nguyen.thi.thanh.hien@auf.org  </w:t>
      </w:r>
    </w:p>
    <w:p w14:paraId="48A1DD68" w14:textId="456E6019" w:rsidR="1F88F5C9" w:rsidRDefault="1F88F5C9" w:rsidP="37D759E2">
      <w:pPr>
        <w:spacing w:line="240" w:lineRule="auto"/>
        <w:jc w:val="both"/>
        <w:rPr>
          <w:rFonts w:eastAsia="Open Sans" w:cs="Open Sans"/>
        </w:rPr>
      </w:pPr>
      <w:r w:rsidRPr="37D759E2">
        <w:rPr>
          <w:rFonts w:eastAsia="Open Sans" w:cs="Open Sans"/>
        </w:rPr>
        <w:t>+84 (0)8 65 33 60 24</w:t>
      </w:r>
    </w:p>
    <w:sectPr w:rsidR="1F88F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1C6F4"/>
    <w:multiLevelType w:val="hybridMultilevel"/>
    <w:tmpl w:val="31DAEE50"/>
    <w:lvl w:ilvl="0" w:tplc="196E0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09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CB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C8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8E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E5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AB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06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C5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1DA2"/>
    <w:multiLevelType w:val="hybridMultilevel"/>
    <w:tmpl w:val="485A130C"/>
    <w:lvl w:ilvl="0" w:tplc="2286C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2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6F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CE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E9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25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C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08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62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B91F"/>
    <w:multiLevelType w:val="hybridMultilevel"/>
    <w:tmpl w:val="3E969520"/>
    <w:lvl w:ilvl="0" w:tplc="7A440D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CCC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47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C8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C1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0B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E8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85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05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3A09"/>
    <w:multiLevelType w:val="hybridMultilevel"/>
    <w:tmpl w:val="9CA04598"/>
    <w:lvl w:ilvl="0" w:tplc="6B5E8C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16C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E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85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85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68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68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A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8558"/>
    <w:multiLevelType w:val="hybridMultilevel"/>
    <w:tmpl w:val="BE2E829A"/>
    <w:lvl w:ilvl="0" w:tplc="D33EA7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866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41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20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26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C8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27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0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89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141A1"/>
    <w:multiLevelType w:val="hybridMultilevel"/>
    <w:tmpl w:val="F3ACCD3C"/>
    <w:lvl w:ilvl="0" w:tplc="ECC853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8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C1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49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8E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E3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B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2E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22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44584"/>
    <w:multiLevelType w:val="hybridMultilevel"/>
    <w:tmpl w:val="5F0A665E"/>
    <w:lvl w:ilvl="0" w:tplc="9AFC4B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B66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E2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2A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E2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EC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6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D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67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42955"/>
    <w:multiLevelType w:val="hybridMultilevel"/>
    <w:tmpl w:val="18D045B6"/>
    <w:lvl w:ilvl="0" w:tplc="A3C2B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60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C1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4A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4D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EB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2A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E3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D7642"/>
    <w:multiLevelType w:val="hybridMultilevel"/>
    <w:tmpl w:val="1CC2C18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40573"/>
    <w:multiLevelType w:val="hybridMultilevel"/>
    <w:tmpl w:val="5CF0E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F11A9"/>
    <w:multiLevelType w:val="hybridMultilevel"/>
    <w:tmpl w:val="491AF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27103">
    <w:abstractNumId w:val="2"/>
  </w:num>
  <w:num w:numId="2" w16cid:durableId="1999141304">
    <w:abstractNumId w:val="6"/>
  </w:num>
  <w:num w:numId="3" w16cid:durableId="1980382191">
    <w:abstractNumId w:val="4"/>
  </w:num>
  <w:num w:numId="4" w16cid:durableId="1625234230">
    <w:abstractNumId w:val="3"/>
  </w:num>
  <w:num w:numId="5" w16cid:durableId="1977644774">
    <w:abstractNumId w:val="5"/>
  </w:num>
  <w:num w:numId="6" w16cid:durableId="1851869285">
    <w:abstractNumId w:val="7"/>
  </w:num>
  <w:num w:numId="7" w16cid:durableId="308901712">
    <w:abstractNumId w:val="1"/>
  </w:num>
  <w:num w:numId="8" w16cid:durableId="1137147513">
    <w:abstractNumId w:val="0"/>
  </w:num>
  <w:num w:numId="9" w16cid:durableId="259724488">
    <w:abstractNumId w:val="10"/>
  </w:num>
  <w:num w:numId="10" w16cid:durableId="1775248768">
    <w:abstractNumId w:val="9"/>
  </w:num>
  <w:num w:numId="11" w16cid:durableId="170879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EC"/>
    <w:rsid w:val="00006E65"/>
    <w:rsid w:val="00013FBD"/>
    <w:rsid w:val="00043B2D"/>
    <w:rsid w:val="0006543D"/>
    <w:rsid w:val="000B7718"/>
    <w:rsid w:val="000D52DD"/>
    <w:rsid w:val="0011560B"/>
    <w:rsid w:val="0015701C"/>
    <w:rsid w:val="00186A02"/>
    <w:rsid w:val="001958C2"/>
    <w:rsid w:val="001D32B9"/>
    <w:rsid w:val="001D66FE"/>
    <w:rsid w:val="001D7547"/>
    <w:rsid w:val="001F6D2F"/>
    <w:rsid w:val="001F7763"/>
    <w:rsid w:val="00202730"/>
    <w:rsid w:val="00212DC4"/>
    <w:rsid w:val="00265FC4"/>
    <w:rsid w:val="00285FA8"/>
    <w:rsid w:val="0028663B"/>
    <w:rsid w:val="00292EA4"/>
    <w:rsid w:val="002B3F45"/>
    <w:rsid w:val="002D11E1"/>
    <w:rsid w:val="002D4AD9"/>
    <w:rsid w:val="002D5270"/>
    <w:rsid w:val="002E0829"/>
    <w:rsid w:val="002E4277"/>
    <w:rsid w:val="0032219B"/>
    <w:rsid w:val="003450D4"/>
    <w:rsid w:val="00353D3F"/>
    <w:rsid w:val="003770F7"/>
    <w:rsid w:val="00387E86"/>
    <w:rsid w:val="003C6230"/>
    <w:rsid w:val="003E4A1D"/>
    <w:rsid w:val="003E4D81"/>
    <w:rsid w:val="004238CC"/>
    <w:rsid w:val="004330A7"/>
    <w:rsid w:val="00437EC5"/>
    <w:rsid w:val="0044426C"/>
    <w:rsid w:val="00466D73"/>
    <w:rsid w:val="004705B9"/>
    <w:rsid w:val="00487419"/>
    <w:rsid w:val="00493549"/>
    <w:rsid w:val="004A678E"/>
    <w:rsid w:val="004B3F62"/>
    <w:rsid w:val="004D6779"/>
    <w:rsid w:val="004E4C08"/>
    <w:rsid w:val="004E6ACA"/>
    <w:rsid w:val="004E7427"/>
    <w:rsid w:val="00514427"/>
    <w:rsid w:val="005154EC"/>
    <w:rsid w:val="0052796D"/>
    <w:rsid w:val="005454F6"/>
    <w:rsid w:val="005555DA"/>
    <w:rsid w:val="00561A1B"/>
    <w:rsid w:val="00563826"/>
    <w:rsid w:val="00570868"/>
    <w:rsid w:val="005B4B9E"/>
    <w:rsid w:val="005D53F0"/>
    <w:rsid w:val="005E76EA"/>
    <w:rsid w:val="005E78B2"/>
    <w:rsid w:val="005F35BA"/>
    <w:rsid w:val="005F3D44"/>
    <w:rsid w:val="00603687"/>
    <w:rsid w:val="00637381"/>
    <w:rsid w:val="00641320"/>
    <w:rsid w:val="00667505"/>
    <w:rsid w:val="00670693"/>
    <w:rsid w:val="0067695F"/>
    <w:rsid w:val="0067732E"/>
    <w:rsid w:val="00677A2D"/>
    <w:rsid w:val="006A281D"/>
    <w:rsid w:val="006B0C7A"/>
    <w:rsid w:val="006B2109"/>
    <w:rsid w:val="006D00DB"/>
    <w:rsid w:val="006E1C28"/>
    <w:rsid w:val="00722788"/>
    <w:rsid w:val="00726E20"/>
    <w:rsid w:val="007523AD"/>
    <w:rsid w:val="007B2B85"/>
    <w:rsid w:val="007C699F"/>
    <w:rsid w:val="007E3335"/>
    <w:rsid w:val="007E640A"/>
    <w:rsid w:val="007F03D5"/>
    <w:rsid w:val="008352D1"/>
    <w:rsid w:val="00852368"/>
    <w:rsid w:val="00854F3F"/>
    <w:rsid w:val="00863D29"/>
    <w:rsid w:val="00880338"/>
    <w:rsid w:val="008A50A2"/>
    <w:rsid w:val="008B6F97"/>
    <w:rsid w:val="008C3F57"/>
    <w:rsid w:val="00931A43"/>
    <w:rsid w:val="009341D9"/>
    <w:rsid w:val="009357BE"/>
    <w:rsid w:val="009435F0"/>
    <w:rsid w:val="009440E3"/>
    <w:rsid w:val="00945D9A"/>
    <w:rsid w:val="00950458"/>
    <w:rsid w:val="00955F35"/>
    <w:rsid w:val="00956637"/>
    <w:rsid w:val="009A5FED"/>
    <w:rsid w:val="009E6CCF"/>
    <w:rsid w:val="00A05576"/>
    <w:rsid w:val="00A07656"/>
    <w:rsid w:val="00A26174"/>
    <w:rsid w:val="00A52F9D"/>
    <w:rsid w:val="00A712EC"/>
    <w:rsid w:val="00A73667"/>
    <w:rsid w:val="00A84204"/>
    <w:rsid w:val="00A9364A"/>
    <w:rsid w:val="00AD0403"/>
    <w:rsid w:val="00AE2737"/>
    <w:rsid w:val="00AE45DF"/>
    <w:rsid w:val="00AF0F23"/>
    <w:rsid w:val="00B159A2"/>
    <w:rsid w:val="00B23E46"/>
    <w:rsid w:val="00B30A4F"/>
    <w:rsid w:val="00B34D31"/>
    <w:rsid w:val="00B41FB7"/>
    <w:rsid w:val="00B524DC"/>
    <w:rsid w:val="00B61701"/>
    <w:rsid w:val="00B72314"/>
    <w:rsid w:val="00B84647"/>
    <w:rsid w:val="00B908D9"/>
    <w:rsid w:val="00B93B78"/>
    <w:rsid w:val="00BC0D95"/>
    <w:rsid w:val="00BD3181"/>
    <w:rsid w:val="00C47FA4"/>
    <w:rsid w:val="00C56BF5"/>
    <w:rsid w:val="00C6080E"/>
    <w:rsid w:val="00C61C5F"/>
    <w:rsid w:val="00C62487"/>
    <w:rsid w:val="00C814E1"/>
    <w:rsid w:val="00CA301C"/>
    <w:rsid w:val="00CC54FB"/>
    <w:rsid w:val="00CE55EF"/>
    <w:rsid w:val="00D00C3A"/>
    <w:rsid w:val="00D327EF"/>
    <w:rsid w:val="00D46C42"/>
    <w:rsid w:val="00D76994"/>
    <w:rsid w:val="00D87302"/>
    <w:rsid w:val="00D96B88"/>
    <w:rsid w:val="00D97B9C"/>
    <w:rsid w:val="00DC37D2"/>
    <w:rsid w:val="00DD45DB"/>
    <w:rsid w:val="00DD5411"/>
    <w:rsid w:val="00DF0B03"/>
    <w:rsid w:val="00E07108"/>
    <w:rsid w:val="00E1771E"/>
    <w:rsid w:val="00E32300"/>
    <w:rsid w:val="00E576E9"/>
    <w:rsid w:val="00E709A6"/>
    <w:rsid w:val="00E77970"/>
    <w:rsid w:val="00E82BB8"/>
    <w:rsid w:val="00E917F3"/>
    <w:rsid w:val="00EA4B6B"/>
    <w:rsid w:val="00EB7416"/>
    <w:rsid w:val="00ED7225"/>
    <w:rsid w:val="00EE5889"/>
    <w:rsid w:val="00EF2A07"/>
    <w:rsid w:val="00F1176C"/>
    <w:rsid w:val="00F24DCB"/>
    <w:rsid w:val="00F35EC9"/>
    <w:rsid w:val="00F433CE"/>
    <w:rsid w:val="00F7729F"/>
    <w:rsid w:val="00FA683C"/>
    <w:rsid w:val="00FA70B0"/>
    <w:rsid w:val="00FB405C"/>
    <w:rsid w:val="00FD7CA9"/>
    <w:rsid w:val="00FF7470"/>
    <w:rsid w:val="020A73D8"/>
    <w:rsid w:val="02185A23"/>
    <w:rsid w:val="029B68DB"/>
    <w:rsid w:val="02AF848C"/>
    <w:rsid w:val="0302BA97"/>
    <w:rsid w:val="03372761"/>
    <w:rsid w:val="0355257E"/>
    <w:rsid w:val="03C4959D"/>
    <w:rsid w:val="03D19C20"/>
    <w:rsid w:val="04150017"/>
    <w:rsid w:val="04446BD3"/>
    <w:rsid w:val="0456CEF5"/>
    <w:rsid w:val="04A8A8CE"/>
    <w:rsid w:val="04BDD144"/>
    <w:rsid w:val="053B4A7D"/>
    <w:rsid w:val="06261524"/>
    <w:rsid w:val="063C7114"/>
    <w:rsid w:val="06482D8F"/>
    <w:rsid w:val="06723D22"/>
    <w:rsid w:val="06C06380"/>
    <w:rsid w:val="07476D00"/>
    <w:rsid w:val="0759D8A2"/>
    <w:rsid w:val="0762B3B0"/>
    <w:rsid w:val="08781DAC"/>
    <w:rsid w:val="09DA9DC8"/>
    <w:rsid w:val="09F9B865"/>
    <w:rsid w:val="0A449FD9"/>
    <w:rsid w:val="0A8C9141"/>
    <w:rsid w:val="0AB15C99"/>
    <w:rsid w:val="0B85F64A"/>
    <w:rsid w:val="0CC1DA08"/>
    <w:rsid w:val="0CE07D44"/>
    <w:rsid w:val="0D6D0BE8"/>
    <w:rsid w:val="0D6E64EA"/>
    <w:rsid w:val="0DB1CF61"/>
    <w:rsid w:val="0E3DD697"/>
    <w:rsid w:val="0E8D992A"/>
    <w:rsid w:val="0F361CF5"/>
    <w:rsid w:val="0F71101C"/>
    <w:rsid w:val="0F8ECEB5"/>
    <w:rsid w:val="0FC20856"/>
    <w:rsid w:val="0FE83398"/>
    <w:rsid w:val="10C52178"/>
    <w:rsid w:val="10FC23B1"/>
    <w:rsid w:val="11D783DD"/>
    <w:rsid w:val="11DA74AC"/>
    <w:rsid w:val="120F9CA7"/>
    <w:rsid w:val="124A81AD"/>
    <w:rsid w:val="127946E7"/>
    <w:rsid w:val="1346E728"/>
    <w:rsid w:val="135B6BBF"/>
    <w:rsid w:val="136066F4"/>
    <w:rsid w:val="13B2E12D"/>
    <w:rsid w:val="152601FB"/>
    <w:rsid w:val="152D13A1"/>
    <w:rsid w:val="17C86535"/>
    <w:rsid w:val="1803942F"/>
    <w:rsid w:val="1907A068"/>
    <w:rsid w:val="19236D4A"/>
    <w:rsid w:val="1975D2CC"/>
    <w:rsid w:val="19790364"/>
    <w:rsid w:val="1A09587B"/>
    <w:rsid w:val="1AB65A98"/>
    <w:rsid w:val="1AD9668C"/>
    <w:rsid w:val="1B5D91A5"/>
    <w:rsid w:val="1B69A1EF"/>
    <w:rsid w:val="1C549261"/>
    <w:rsid w:val="1C7FF14E"/>
    <w:rsid w:val="1D176ECD"/>
    <w:rsid w:val="1EB980D0"/>
    <w:rsid w:val="1EF9804E"/>
    <w:rsid w:val="1F88F5C9"/>
    <w:rsid w:val="1F8EC1CD"/>
    <w:rsid w:val="1FFE0B42"/>
    <w:rsid w:val="1FFFCF31"/>
    <w:rsid w:val="20073E66"/>
    <w:rsid w:val="210A3A84"/>
    <w:rsid w:val="224111DD"/>
    <w:rsid w:val="23E85AB7"/>
    <w:rsid w:val="23F0C4A9"/>
    <w:rsid w:val="25256674"/>
    <w:rsid w:val="256CE074"/>
    <w:rsid w:val="26A1CCE4"/>
    <w:rsid w:val="27E4E7F3"/>
    <w:rsid w:val="280022E6"/>
    <w:rsid w:val="28A5A7A9"/>
    <w:rsid w:val="28B6D916"/>
    <w:rsid w:val="29C1AB96"/>
    <w:rsid w:val="2A6D67CE"/>
    <w:rsid w:val="2ACAAC20"/>
    <w:rsid w:val="2AD5D87A"/>
    <w:rsid w:val="2D281558"/>
    <w:rsid w:val="2E115B8C"/>
    <w:rsid w:val="2E3771B5"/>
    <w:rsid w:val="2E639276"/>
    <w:rsid w:val="2E798988"/>
    <w:rsid w:val="2E9E37A1"/>
    <w:rsid w:val="2FEADF70"/>
    <w:rsid w:val="3034FCF7"/>
    <w:rsid w:val="305910BB"/>
    <w:rsid w:val="30A78FD8"/>
    <w:rsid w:val="30EC29D8"/>
    <w:rsid w:val="31006D4E"/>
    <w:rsid w:val="3142A499"/>
    <w:rsid w:val="31B72A3D"/>
    <w:rsid w:val="31C86203"/>
    <w:rsid w:val="31EA4F04"/>
    <w:rsid w:val="32EE1198"/>
    <w:rsid w:val="333203DD"/>
    <w:rsid w:val="33650D88"/>
    <w:rsid w:val="3366E039"/>
    <w:rsid w:val="3374EB76"/>
    <w:rsid w:val="34BECE46"/>
    <w:rsid w:val="34C644E3"/>
    <w:rsid w:val="36022832"/>
    <w:rsid w:val="3692D3CF"/>
    <w:rsid w:val="36D423AF"/>
    <w:rsid w:val="37B7DDF5"/>
    <w:rsid w:val="37BCF3DF"/>
    <w:rsid w:val="37D759E2"/>
    <w:rsid w:val="37FCAAF4"/>
    <w:rsid w:val="386343FE"/>
    <w:rsid w:val="39941476"/>
    <w:rsid w:val="39CD000A"/>
    <w:rsid w:val="3A1350CD"/>
    <w:rsid w:val="3A630E82"/>
    <w:rsid w:val="3A64B12B"/>
    <w:rsid w:val="3A902AC0"/>
    <w:rsid w:val="3B4DFDB9"/>
    <w:rsid w:val="3B79506E"/>
    <w:rsid w:val="3B8DB385"/>
    <w:rsid w:val="3CE95469"/>
    <w:rsid w:val="3D52249F"/>
    <w:rsid w:val="3DEEB62A"/>
    <w:rsid w:val="3EB0971C"/>
    <w:rsid w:val="3EDEE5B1"/>
    <w:rsid w:val="3F2101D7"/>
    <w:rsid w:val="3F979625"/>
    <w:rsid w:val="3FA0E82A"/>
    <w:rsid w:val="3FC378A2"/>
    <w:rsid w:val="3FD90881"/>
    <w:rsid w:val="40B92420"/>
    <w:rsid w:val="40C2C1D9"/>
    <w:rsid w:val="413A45EC"/>
    <w:rsid w:val="41861FAC"/>
    <w:rsid w:val="41937BF1"/>
    <w:rsid w:val="4275A730"/>
    <w:rsid w:val="42C640A7"/>
    <w:rsid w:val="42DB69F8"/>
    <w:rsid w:val="42E2B260"/>
    <w:rsid w:val="43AFBB37"/>
    <w:rsid w:val="43FFE527"/>
    <w:rsid w:val="44B080A0"/>
    <w:rsid w:val="44B73C04"/>
    <w:rsid w:val="44E3CF07"/>
    <w:rsid w:val="45FD78B8"/>
    <w:rsid w:val="46F623C4"/>
    <w:rsid w:val="478ACAB6"/>
    <w:rsid w:val="482A8D20"/>
    <w:rsid w:val="49166955"/>
    <w:rsid w:val="498A0E3B"/>
    <w:rsid w:val="49D467A5"/>
    <w:rsid w:val="49E5BB4B"/>
    <w:rsid w:val="4A663CF9"/>
    <w:rsid w:val="4BA15958"/>
    <w:rsid w:val="4BA7F848"/>
    <w:rsid w:val="4BB9A57C"/>
    <w:rsid w:val="4BC068FA"/>
    <w:rsid w:val="4C3022CE"/>
    <w:rsid w:val="4C3D472B"/>
    <w:rsid w:val="4C423DA2"/>
    <w:rsid w:val="4CE1702B"/>
    <w:rsid w:val="4D53FD7C"/>
    <w:rsid w:val="4D93DCF1"/>
    <w:rsid w:val="4DA98744"/>
    <w:rsid w:val="4DC4E7B4"/>
    <w:rsid w:val="4DD502A5"/>
    <w:rsid w:val="4F6C90C4"/>
    <w:rsid w:val="50233931"/>
    <w:rsid w:val="50246F69"/>
    <w:rsid w:val="5036BD1D"/>
    <w:rsid w:val="5075F46A"/>
    <w:rsid w:val="51010D24"/>
    <w:rsid w:val="5221116F"/>
    <w:rsid w:val="53099FD8"/>
    <w:rsid w:val="53315545"/>
    <w:rsid w:val="536EDC13"/>
    <w:rsid w:val="549C9E54"/>
    <w:rsid w:val="54E26C42"/>
    <w:rsid w:val="54F5F9C0"/>
    <w:rsid w:val="557ED591"/>
    <w:rsid w:val="55CFA6F3"/>
    <w:rsid w:val="563B4FCC"/>
    <w:rsid w:val="5713AAEB"/>
    <w:rsid w:val="57711CBB"/>
    <w:rsid w:val="5790BF40"/>
    <w:rsid w:val="57F5B49E"/>
    <w:rsid w:val="583BAFD9"/>
    <w:rsid w:val="586099EB"/>
    <w:rsid w:val="58FB135E"/>
    <w:rsid w:val="5A12453C"/>
    <w:rsid w:val="5A517EAE"/>
    <w:rsid w:val="5AC25C07"/>
    <w:rsid w:val="5B96C028"/>
    <w:rsid w:val="5BB0FBF4"/>
    <w:rsid w:val="5BC17675"/>
    <w:rsid w:val="5BE3ABC5"/>
    <w:rsid w:val="5BFEAC13"/>
    <w:rsid w:val="5C294D8D"/>
    <w:rsid w:val="5C41A434"/>
    <w:rsid w:val="5C81BEE8"/>
    <w:rsid w:val="5CA54AF4"/>
    <w:rsid w:val="5CE098B0"/>
    <w:rsid w:val="5D904B56"/>
    <w:rsid w:val="5DF2EE9A"/>
    <w:rsid w:val="5E96FFAB"/>
    <w:rsid w:val="5F56A2E7"/>
    <w:rsid w:val="5FCF540A"/>
    <w:rsid w:val="5FFCE3E1"/>
    <w:rsid w:val="605F4AF0"/>
    <w:rsid w:val="6156938C"/>
    <w:rsid w:val="61A06892"/>
    <w:rsid w:val="61BF89CD"/>
    <w:rsid w:val="61E7E319"/>
    <w:rsid w:val="6201FCD4"/>
    <w:rsid w:val="620BF07D"/>
    <w:rsid w:val="6289249F"/>
    <w:rsid w:val="62E49A01"/>
    <w:rsid w:val="6359C298"/>
    <w:rsid w:val="6379D347"/>
    <w:rsid w:val="64181072"/>
    <w:rsid w:val="647F36B7"/>
    <w:rsid w:val="64CD4B92"/>
    <w:rsid w:val="64D8244E"/>
    <w:rsid w:val="64F9DA0A"/>
    <w:rsid w:val="6529DC05"/>
    <w:rsid w:val="6586CCA5"/>
    <w:rsid w:val="65F30EC7"/>
    <w:rsid w:val="6611125E"/>
    <w:rsid w:val="66A040DB"/>
    <w:rsid w:val="66BE1EAB"/>
    <w:rsid w:val="66D582FF"/>
    <w:rsid w:val="673969A0"/>
    <w:rsid w:val="677E43A3"/>
    <w:rsid w:val="67E8370E"/>
    <w:rsid w:val="685922BE"/>
    <w:rsid w:val="69F1500B"/>
    <w:rsid w:val="6B74E125"/>
    <w:rsid w:val="6BBCFA5D"/>
    <w:rsid w:val="6C0D5AB7"/>
    <w:rsid w:val="6C24B4A0"/>
    <w:rsid w:val="6CE93772"/>
    <w:rsid w:val="6D4A80B0"/>
    <w:rsid w:val="7174F7E2"/>
    <w:rsid w:val="726B0949"/>
    <w:rsid w:val="72EE9F6A"/>
    <w:rsid w:val="73DF8EB1"/>
    <w:rsid w:val="7536D80C"/>
    <w:rsid w:val="757864FB"/>
    <w:rsid w:val="75E7395D"/>
    <w:rsid w:val="75EFA0BA"/>
    <w:rsid w:val="76B07BE1"/>
    <w:rsid w:val="776A4AAA"/>
    <w:rsid w:val="778C8328"/>
    <w:rsid w:val="77B4B0BD"/>
    <w:rsid w:val="77F5FBB4"/>
    <w:rsid w:val="781249C9"/>
    <w:rsid w:val="782645B3"/>
    <w:rsid w:val="7830411A"/>
    <w:rsid w:val="79A07AC7"/>
    <w:rsid w:val="79E83C15"/>
    <w:rsid w:val="79FD08EA"/>
    <w:rsid w:val="7AA9CCA4"/>
    <w:rsid w:val="7BA17825"/>
    <w:rsid w:val="7C05A664"/>
    <w:rsid w:val="7CA3D0A6"/>
    <w:rsid w:val="7CDC32AD"/>
    <w:rsid w:val="7D39EB2F"/>
    <w:rsid w:val="7D5ADCC6"/>
    <w:rsid w:val="7E298FB7"/>
    <w:rsid w:val="7E7AD7AE"/>
    <w:rsid w:val="7F62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CAF65"/>
  <w15:chartTrackingRefBased/>
  <w15:docId w15:val="{0D6BF937-30AA-4E52-A69A-93C6534F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4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6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6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64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3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5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uf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505EA87704D9D2E6915A88A423D" ma:contentTypeVersion="22" ma:contentTypeDescription="Crée un document." ma:contentTypeScope="" ma:versionID="840ac46de97bcde2a3daae5b147089b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981258e9-8ca4-4574-85a0-62d9e2397bd1" targetNamespace="http://schemas.microsoft.com/office/2006/metadata/properties" ma:root="true" ma:fieldsID="f83e63ea303b97b10e849181312bbdf5" ns1:_="" ns2:_="" ns3:_="" ns4:_="">
    <xsd:import namespace="http://schemas.microsoft.com/sharepoint/v3"/>
    <xsd:import namespace="a72e391e-6a7e-4a78-9109-da3d1b8b6fd9"/>
    <xsd:import namespace="2e80bc64-7750-45f3-8f47-a5673ba8b009"/>
    <xsd:import namespace="981258e9-8ca4-4574-85a0-62d9e2397bd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jc43f2f44e1847c3a66c45c2c263f63b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258e9-8ca4-4574-85a0-62d9e2397bd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jc43f2f44e1847c3a66c45c2c263f63b" ma:index="18" nillable="true" ma:taxonomy="true" ma:internalName="jc43f2f44e1847c3a66c45c2c263f63b" ma:taxonomyFieldName="Classification" ma:displayName="Classification" ma:fieldId="{3c43f2f4-4e18-47c3-a66c-45c2c263f63b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81258e9-8ca4-4574-85a0-62d9e2397bd1">
      <Terms xmlns="http://schemas.microsoft.com/office/infopath/2007/PartnerControls"/>
    </lcf76f155ced4ddcb4097134ff3c332f>
    <jc43f2f44e1847c3a66c45c2c263f63b xmlns="981258e9-8ca4-4574-85a0-62d9e2397bd1">
      <Terms xmlns="http://schemas.microsoft.com/office/infopath/2007/PartnerControls"/>
    </jc43f2f44e1847c3a66c45c2c263f63b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3C6F6-7BD2-4DBB-ADC8-CA260EACD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981258e9-8ca4-4574-85a0-62d9e2397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634D4-EEAA-4537-95E3-4A284DA7D6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1258e9-8ca4-4574-85a0-62d9e2397bd1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0304C86C-D5CA-489D-BA6A-86BF6FC45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 Thi Thanh Hien</dc:creator>
  <cp:keywords/>
  <dc:description/>
  <cp:lastModifiedBy>Nguyen Tan Dai</cp:lastModifiedBy>
  <cp:revision>62</cp:revision>
  <cp:lastPrinted>2024-11-01T16:10:00Z</cp:lastPrinted>
  <dcterms:created xsi:type="dcterms:W3CDTF">2024-11-02T06:23:00Z</dcterms:created>
  <dcterms:modified xsi:type="dcterms:W3CDTF">2024-11-02T07:50:00Z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0x01010003B4A505EA87704D9D2E6915A88A423D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lassification">
    <vt:lpwstr/>
  </property>
</Properties>
</file>